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3C82AD">
      <w:pPr>
        <w:keepNext w:val="0"/>
        <w:keepLines w:val="0"/>
        <w:pageBreakBefore w:val="0"/>
        <w:kinsoku/>
        <w:wordWrap/>
        <w:overflowPunct/>
        <w:topLinePunct w:val="0"/>
        <w:autoSpaceDE/>
        <w:autoSpaceDN/>
        <w:bidi w:val="0"/>
        <w:adjustRightInd/>
        <w:snapToGrid/>
        <w:spacing w:line="570" w:lineRule="exact"/>
        <w:jc w:val="both"/>
        <w:textAlignment w:val="auto"/>
        <w:rPr>
          <w:rFonts w:hint="eastAsia" w:ascii="方正小标宋简体" w:hAnsi="方正小标宋简体" w:eastAsia="方正小标宋简体" w:cs="方正小标宋简体"/>
          <w:sz w:val="44"/>
          <w:szCs w:val="44"/>
        </w:rPr>
      </w:pPr>
    </w:p>
    <w:p w14:paraId="720D465E">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p>
    <w:p w14:paraId="00F85EDA">
      <w:pPr>
        <w:keepNext w:val="0"/>
        <w:keepLines w:val="0"/>
        <w:pageBreakBefore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关于印发《鸠江区促进知识产权发展和质量提升若干措施》的通知</w:t>
      </w:r>
    </w:p>
    <w:bookmarkEnd w:id="0"/>
    <w:p w14:paraId="5A9F8A82">
      <w:pPr>
        <w:keepNext w:val="0"/>
        <w:keepLines w:val="0"/>
        <w:pageBreakBefore w:val="0"/>
        <w:widowControl w:val="0"/>
        <w:kinsoku/>
        <w:wordWrap/>
        <w:overflowPunct/>
        <w:topLinePunct w:val="0"/>
        <w:autoSpaceDE/>
        <w:autoSpaceDN/>
        <w:bidi w:val="0"/>
        <w:adjustRightInd/>
        <w:snapToGrid/>
        <w:spacing w:line="570" w:lineRule="exact"/>
        <w:ind w:left="120"/>
        <w:jc w:val="center"/>
        <w:textAlignment w:val="auto"/>
        <w:rPr>
          <w:rFonts w:hint="eastAsia" w:ascii="Times New Roman" w:hAnsi="Times New Roman" w:eastAsia="宋体" w:cs="Times New Roman"/>
          <w:kern w:val="0"/>
          <w:sz w:val="24"/>
          <w:szCs w:val="24"/>
          <w:lang w:val="en-US" w:eastAsia="zh-CN" w:bidi="ar-SA"/>
        </w:rPr>
      </w:pPr>
      <w:r>
        <w:rPr>
          <w:rFonts w:hint="eastAsia" w:ascii="仿宋_GB2312" w:hAnsi="仿宋_GB2312" w:eastAsia="仿宋_GB2312" w:cs="仿宋_GB2312"/>
          <w:snapToGrid w:val="0"/>
          <w:color w:val="auto"/>
          <w:kern w:val="0"/>
          <w:sz w:val="32"/>
          <w:szCs w:val="32"/>
          <w:lang w:eastAsia="zh-CN"/>
        </w:rPr>
        <w:t>鸠政办</w:t>
      </w:r>
      <w:r>
        <w:rPr>
          <w:rFonts w:hint="eastAsia" w:ascii="仿宋_GB2312" w:hAnsi="仿宋_GB2312" w:eastAsia="仿宋_GB2312" w:cs="仿宋_GB2312"/>
          <w:snapToGrid w:val="0"/>
          <w:color w:val="auto"/>
          <w:kern w:val="0"/>
          <w:sz w:val="32"/>
          <w:szCs w:val="32"/>
        </w:rPr>
        <w:t>〔202</w:t>
      </w:r>
      <w:r>
        <w:rPr>
          <w:rFonts w:hint="eastAsia" w:ascii="仿宋_GB2312" w:hAnsi="仿宋_GB2312" w:eastAsia="仿宋_GB2312" w:cs="仿宋_GB2312"/>
          <w:snapToGrid w:val="0"/>
          <w:color w:val="auto"/>
          <w:kern w:val="0"/>
          <w:sz w:val="32"/>
          <w:szCs w:val="32"/>
          <w:lang w:val="en-US" w:eastAsia="zh-CN"/>
        </w:rPr>
        <w:t>5</w:t>
      </w:r>
      <w:r>
        <w:rPr>
          <w:rFonts w:hint="eastAsia" w:ascii="仿宋_GB2312" w:hAnsi="仿宋_GB2312" w:eastAsia="仿宋_GB2312" w:cs="仿宋_GB2312"/>
          <w:snapToGrid w:val="0"/>
          <w:color w:val="auto"/>
          <w:kern w:val="0"/>
          <w:sz w:val="32"/>
          <w:szCs w:val="32"/>
        </w:rPr>
        <w:t>〕</w:t>
      </w:r>
      <w:r>
        <w:rPr>
          <w:rFonts w:hint="eastAsia" w:ascii="仿宋_GB2312" w:hAnsi="仿宋_GB2312" w:eastAsia="仿宋_GB2312" w:cs="仿宋_GB2312"/>
          <w:snapToGrid w:val="0"/>
          <w:color w:val="auto"/>
          <w:kern w:val="0"/>
          <w:sz w:val="32"/>
          <w:szCs w:val="32"/>
          <w:lang w:val="en-US" w:eastAsia="zh-CN"/>
        </w:rPr>
        <w:t>38</w:t>
      </w:r>
      <w:r>
        <w:rPr>
          <w:rFonts w:hint="eastAsia" w:ascii="仿宋_GB2312" w:hAnsi="仿宋_GB2312" w:eastAsia="仿宋_GB2312" w:cs="仿宋_GB2312"/>
          <w:snapToGrid w:val="0"/>
          <w:color w:val="auto"/>
          <w:kern w:val="0"/>
          <w:sz w:val="32"/>
          <w:szCs w:val="32"/>
        </w:rPr>
        <w:t>号</w:t>
      </w:r>
    </w:p>
    <w:p w14:paraId="2A38071E">
      <w:pPr>
        <w:keepNext w:val="0"/>
        <w:keepLines w:val="0"/>
        <w:pageBreakBefore w:val="0"/>
        <w:kinsoku/>
        <w:wordWrap/>
        <w:overflowPunct/>
        <w:topLinePunct w:val="0"/>
        <w:autoSpaceDE/>
        <w:autoSpaceDN/>
        <w:bidi w:val="0"/>
        <w:adjustRightInd/>
        <w:snapToGrid/>
        <w:spacing w:line="570" w:lineRule="exact"/>
        <w:jc w:val="both"/>
        <w:textAlignment w:val="auto"/>
        <w:rPr>
          <w:rFonts w:hint="eastAsia" w:ascii="仿宋_GB2312" w:hAnsi="仿宋_GB2312" w:eastAsia="仿宋_GB2312" w:cs="仿宋_GB2312"/>
          <w:sz w:val="32"/>
          <w:szCs w:val="32"/>
        </w:rPr>
      </w:pPr>
    </w:p>
    <w:p w14:paraId="1DA6E49D">
      <w:pPr>
        <w:keepNext w:val="0"/>
        <w:keepLines w:val="0"/>
        <w:pageBreakBefore w:val="0"/>
        <w:kinsoku/>
        <w:wordWrap/>
        <w:overflowPunct/>
        <w:topLinePunct w:val="0"/>
        <w:autoSpaceDE/>
        <w:autoSpaceDN/>
        <w:bidi w:val="0"/>
        <w:adjustRightInd/>
        <w:snapToGrid/>
        <w:spacing w:line="57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各镇人民政府，各街道办事处，鸠江经济开发区管委会，区</w:t>
      </w:r>
    </w:p>
    <w:p w14:paraId="4EE2344C">
      <w:pPr>
        <w:keepNext w:val="0"/>
        <w:keepLines w:val="0"/>
        <w:pageBreakBefore w:val="0"/>
        <w:kinsoku/>
        <w:wordWrap/>
        <w:overflowPunct/>
        <w:topLinePunct w:val="0"/>
        <w:autoSpaceDE/>
        <w:autoSpaceDN/>
        <w:bidi w:val="0"/>
        <w:adjustRightInd/>
        <w:snapToGrid/>
        <w:spacing w:line="57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直各部门，驻区各单位：</w:t>
      </w:r>
    </w:p>
    <w:p w14:paraId="73A4E79B">
      <w:pPr>
        <w:keepNext w:val="0"/>
        <w:keepLines w:val="0"/>
        <w:pageBreakBefore w:val="0"/>
        <w:kinsoku/>
        <w:wordWrap/>
        <w:overflowPunct/>
        <w:topLinePunct w:val="0"/>
        <w:autoSpaceDE/>
        <w:autoSpaceDN/>
        <w:bidi w:val="0"/>
        <w:adjustRightInd/>
        <w:snapToGrid/>
        <w:spacing w:line="57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《鸠江区促进知识产权发展和质量提升若干措施》已经八届区政府第</w:t>
      </w:r>
      <w:r>
        <w:rPr>
          <w:rFonts w:hint="eastAsia" w:ascii="仿宋_GB2312" w:hAnsi="仿宋_GB2312" w:eastAsia="仿宋_GB2312" w:cs="仿宋_GB2312"/>
          <w:sz w:val="32"/>
          <w:szCs w:val="32"/>
          <w:lang w:val="en-US" w:eastAsia="zh-CN"/>
        </w:rPr>
        <w:t>92</w:t>
      </w:r>
      <w:r>
        <w:rPr>
          <w:rFonts w:hint="eastAsia" w:ascii="仿宋_GB2312" w:hAnsi="仿宋_GB2312" w:eastAsia="仿宋_GB2312" w:cs="仿宋_GB2312"/>
          <w:sz w:val="32"/>
          <w:szCs w:val="32"/>
        </w:rPr>
        <w:t>次常务会议审议通过，现印发给你们，请认真贯彻落实。</w:t>
      </w:r>
    </w:p>
    <w:p w14:paraId="4C390A11">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both"/>
        <w:textAlignment w:val="auto"/>
        <w:rPr>
          <w:rFonts w:hint="eastAsia" w:ascii="仿宋_GB2312" w:hAnsi="仿宋_GB2312" w:eastAsia="仿宋_GB2312" w:cs="仿宋_GB2312"/>
          <w:kern w:val="0"/>
          <w:sz w:val="32"/>
          <w:szCs w:val="32"/>
          <w:lang w:val="en-US" w:eastAsia="zh-CN" w:bidi="ar-SA"/>
        </w:rPr>
      </w:pPr>
    </w:p>
    <w:p w14:paraId="2FF06403">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both"/>
        <w:textAlignment w:val="auto"/>
        <w:rPr>
          <w:rFonts w:hint="eastAsia" w:ascii="仿宋_GB2312" w:hAnsi="仿宋_GB2312" w:eastAsia="仿宋_GB2312" w:cs="仿宋_GB2312"/>
          <w:kern w:val="0"/>
          <w:sz w:val="32"/>
          <w:szCs w:val="32"/>
          <w:lang w:val="en-US" w:eastAsia="zh-CN" w:bidi="ar-SA"/>
        </w:rPr>
      </w:pPr>
    </w:p>
    <w:p w14:paraId="01DF9C49">
      <w:pPr>
        <w:keepNext w:val="0"/>
        <w:keepLines w:val="0"/>
        <w:pageBreakBefore w:val="0"/>
        <w:widowControl w:val="0"/>
        <w:kinsoku/>
        <w:wordWrap w:val="0"/>
        <w:overflowPunct/>
        <w:topLinePunct w:val="0"/>
        <w:autoSpaceDE/>
        <w:autoSpaceDN/>
        <w:bidi w:val="0"/>
        <w:adjustRightInd/>
        <w:snapToGrid/>
        <w:spacing w:line="570" w:lineRule="exact"/>
        <w:ind w:left="0" w:leftChars="0" w:firstLine="0" w:firstLineChars="0"/>
        <w:jc w:val="right"/>
        <w:textAlignment w:val="auto"/>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 xml:space="preserve">鸠江区人民政府办公室  </w:t>
      </w:r>
    </w:p>
    <w:p w14:paraId="1A27CEFB">
      <w:pPr>
        <w:keepNext w:val="0"/>
        <w:keepLines w:val="0"/>
        <w:pageBreakBefore w:val="0"/>
        <w:widowControl/>
        <w:kinsoku/>
        <w:wordWrap/>
        <w:overflowPunct/>
        <w:topLinePunct w:val="0"/>
        <w:autoSpaceDE/>
        <w:autoSpaceDN/>
        <w:bidi w:val="0"/>
        <w:adjustRightInd/>
        <w:snapToGrid/>
        <w:spacing w:line="570" w:lineRule="exact"/>
        <w:ind w:left="0" w:leftChars="0" w:firstLine="5120" w:firstLineChars="1600"/>
        <w:textAlignment w:val="auto"/>
        <w:rPr>
          <w:rFonts w:hint="default" w:ascii="仿宋_GB2312" w:hAnsi="仿宋_GB2312" w:eastAsia="仿宋_GB2312" w:cs="仿宋_GB2312"/>
          <w:sz w:val="32"/>
          <w:szCs w:val="32"/>
          <w:lang w:val="en-US" w:eastAsia="zh-CN"/>
        </w:rPr>
        <w:sectPr>
          <w:footerReference r:id="rId3" w:type="default"/>
          <w:pgSz w:w="11906" w:h="16838"/>
          <w:pgMar w:top="1440" w:right="1800" w:bottom="1440" w:left="1800" w:header="851" w:footer="992" w:gutter="0"/>
          <w:pgNumType w:fmt="decimal"/>
          <w:cols w:space="425" w:num="1"/>
          <w:formProt w:val="1"/>
          <w:docGrid w:type="lines" w:linePitch="312" w:charSpace="0"/>
        </w:sectPr>
      </w:pPr>
      <w:r>
        <w:rPr>
          <w:rFonts w:hint="eastAsia" w:ascii="仿宋_GB2312" w:hAnsi="仿宋_GB2312" w:eastAsia="仿宋_GB2312" w:cs="仿宋_GB2312"/>
          <w:kern w:val="0"/>
          <w:sz w:val="32"/>
          <w:szCs w:val="32"/>
          <w:lang w:val="en-US" w:eastAsia="zh-CN" w:bidi="ar-SA"/>
        </w:rPr>
        <w:t>2025年9月23日</w:t>
      </w:r>
    </w:p>
    <w:p w14:paraId="706545AE">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eastAsia" w:ascii="方正小标宋简体" w:hAnsi="方正小标宋简体" w:eastAsia="方正小标宋简体" w:cs="方正小标宋简体"/>
          <w:sz w:val="44"/>
          <w:szCs w:val="44"/>
        </w:rPr>
      </w:pPr>
    </w:p>
    <w:p w14:paraId="3063F30C">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鸠江区</w:t>
      </w:r>
      <w:r>
        <w:rPr>
          <w:rFonts w:hint="eastAsia" w:ascii="方正小标宋简体" w:hAnsi="方正小标宋简体" w:eastAsia="方正小标宋简体" w:cs="方正小标宋简体"/>
          <w:sz w:val="44"/>
          <w:szCs w:val="44"/>
          <w:lang w:val="en-US" w:eastAsia="zh-CN"/>
        </w:rPr>
        <w:t>促进</w:t>
      </w:r>
      <w:r>
        <w:rPr>
          <w:rFonts w:hint="eastAsia" w:ascii="方正小标宋简体" w:hAnsi="方正小标宋简体" w:eastAsia="方正小标宋简体" w:cs="方正小标宋简体"/>
          <w:sz w:val="44"/>
          <w:szCs w:val="44"/>
        </w:rPr>
        <w:t>知识产权发展</w:t>
      </w:r>
      <w:r>
        <w:rPr>
          <w:rFonts w:hint="eastAsia" w:ascii="方正小标宋简体" w:hAnsi="方正小标宋简体" w:eastAsia="方正小标宋简体" w:cs="方正小标宋简体"/>
          <w:sz w:val="44"/>
          <w:szCs w:val="44"/>
          <w:lang w:val="en-US" w:eastAsia="zh-CN"/>
        </w:rPr>
        <w:t>和质量提升若干措施</w:t>
      </w:r>
    </w:p>
    <w:p w14:paraId="49657E27">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sz w:val="44"/>
          <w:szCs w:val="44"/>
          <w:lang w:val="en-US" w:eastAsia="zh-CN"/>
        </w:rPr>
      </w:pPr>
    </w:p>
    <w:p w14:paraId="5048EF95">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为全面实施</w:t>
      </w:r>
      <w:r>
        <w:rPr>
          <w:rFonts w:hint="eastAsia" w:ascii="仿宋_GB2312" w:hAnsi="仿宋_GB2312" w:eastAsia="仿宋_GB2312" w:cs="仿宋_GB2312"/>
          <w:sz w:val="32"/>
          <w:szCs w:val="32"/>
          <w:lang w:val="en-US" w:eastAsia="zh-CN"/>
        </w:rPr>
        <w:t>知识产权强区和</w:t>
      </w:r>
      <w:r>
        <w:rPr>
          <w:rFonts w:hint="eastAsia" w:ascii="仿宋_GB2312" w:hAnsi="仿宋_GB2312" w:eastAsia="仿宋_GB2312" w:cs="仿宋_GB2312"/>
          <w:sz w:val="32"/>
          <w:szCs w:val="32"/>
        </w:rPr>
        <w:t>质量强区战略，大力推进质量治理体系和治理能力现代化，优化营商环境和创新环境，提升区域科技创新能力，发挥知识产权</w:t>
      </w:r>
      <w:r>
        <w:rPr>
          <w:rFonts w:hint="eastAsia" w:ascii="仿宋_GB2312" w:hAnsi="仿宋_GB2312" w:eastAsia="仿宋_GB2312" w:cs="仿宋_GB2312"/>
          <w:sz w:val="32"/>
          <w:szCs w:val="32"/>
          <w:lang w:val="en-US" w:eastAsia="zh-CN"/>
        </w:rPr>
        <w:t>、标准化、品牌</w:t>
      </w:r>
      <w:r>
        <w:rPr>
          <w:rFonts w:hint="eastAsia" w:ascii="仿宋_GB2312" w:hAnsi="仿宋_GB2312" w:eastAsia="仿宋_GB2312" w:cs="仿宋_GB2312"/>
          <w:sz w:val="32"/>
          <w:szCs w:val="32"/>
        </w:rPr>
        <w:t>在促进经济发展中的引领作用，建立“政府推动、部门联动、企业主动、社会参与”的知识产权和质量工作保障机制，着力形成一批拥有自主知识产权、具有较强市场竞争力、品牌影响力的企业，推动我区经济</w:t>
      </w:r>
      <w:r>
        <w:rPr>
          <w:rFonts w:hint="eastAsia" w:ascii="仿宋_GB2312" w:hAnsi="仿宋_GB2312" w:eastAsia="仿宋_GB2312" w:cs="仿宋_GB2312"/>
          <w:sz w:val="32"/>
          <w:szCs w:val="32"/>
          <w:lang w:val="en-US" w:eastAsia="zh-CN"/>
        </w:rPr>
        <w:t>高质量</w:t>
      </w:r>
      <w:r>
        <w:rPr>
          <w:rFonts w:hint="eastAsia" w:ascii="仿宋_GB2312" w:hAnsi="仿宋_GB2312" w:eastAsia="仿宋_GB2312" w:cs="仿宋_GB2312"/>
          <w:sz w:val="32"/>
          <w:szCs w:val="32"/>
        </w:rPr>
        <w:t>发展。结合我区实际，特</w:t>
      </w:r>
      <w:r>
        <w:rPr>
          <w:rFonts w:hint="eastAsia" w:ascii="仿宋_GB2312" w:hAnsi="仿宋_GB2312" w:eastAsia="仿宋_GB2312" w:cs="仿宋_GB2312"/>
          <w:sz w:val="32"/>
          <w:szCs w:val="32"/>
          <w:lang w:val="en-US" w:eastAsia="zh-CN"/>
        </w:rPr>
        <w:t>制定</w:t>
      </w:r>
      <w:r>
        <w:rPr>
          <w:rFonts w:hint="eastAsia" w:ascii="仿宋_GB2312" w:hAnsi="仿宋_GB2312" w:eastAsia="仿宋_GB2312" w:cs="仿宋_GB2312"/>
          <w:sz w:val="32"/>
          <w:szCs w:val="32"/>
        </w:rPr>
        <w:t>如下若干扶持政策：</w:t>
      </w:r>
    </w:p>
    <w:p w14:paraId="4FFB6EFC">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黑体" w:hAnsi="黑体" w:eastAsia="黑体" w:cs="仿宋_GB2312"/>
          <w:sz w:val="32"/>
          <w:szCs w:val="32"/>
          <w:highlight w:val="none"/>
          <w:u w:val="none"/>
        </w:rPr>
      </w:pPr>
      <w:r>
        <w:rPr>
          <w:rFonts w:hint="eastAsia" w:ascii="黑体" w:hAnsi="黑体" w:eastAsia="黑体" w:cs="仿宋_GB2312"/>
          <w:sz w:val="32"/>
          <w:szCs w:val="32"/>
        </w:rPr>
        <w:t>一、</w:t>
      </w:r>
      <w:r>
        <w:rPr>
          <w:rFonts w:hint="eastAsia" w:ascii="黑体" w:hAnsi="黑体" w:eastAsia="黑体" w:cs="仿宋_GB2312"/>
          <w:sz w:val="32"/>
          <w:szCs w:val="32"/>
          <w:highlight w:val="none"/>
          <w:u w:val="none"/>
        </w:rPr>
        <w:t>政策支持</w:t>
      </w:r>
    </w:p>
    <w:p w14:paraId="0A1BEECC">
      <w:pPr>
        <w:keepNext w:val="0"/>
        <w:keepLines w:val="0"/>
        <w:pageBreakBefore w:val="0"/>
        <w:widowControl w:val="0"/>
        <w:kinsoku/>
        <w:wordWrap/>
        <w:overflowPunct/>
        <w:topLinePunct w:val="0"/>
        <w:autoSpaceDE/>
        <w:autoSpaceDN/>
        <w:bidi w:val="0"/>
        <w:adjustRightInd/>
        <w:snapToGrid/>
        <w:spacing w:line="570" w:lineRule="exact"/>
        <w:ind w:firstLine="422" w:firstLineChars="200"/>
        <w:textAlignment w:val="auto"/>
        <w:rPr>
          <w:rFonts w:hint="default" w:ascii="仿宋_GB2312" w:hAnsi="仿宋_GB2312" w:eastAsia="仿宋_GB2312" w:cs="仿宋_GB2312"/>
          <w:strike w:val="0"/>
          <w:dstrike w:val="0"/>
          <w:sz w:val="32"/>
          <w:szCs w:val="32"/>
          <w:highlight w:val="none"/>
          <w:u w:val="none"/>
          <w:lang w:val="en-US" w:eastAsia="zh-CN"/>
        </w:rPr>
      </w:pPr>
      <w:r>
        <w:rPr>
          <w:rFonts w:hint="eastAsia" w:ascii="Times New Roman" w:hAnsi="Times New Roman" w:eastAsia="宋体" w:cs="Times New Roman"/>
          <w:b/>
          <w:bCs/>
          <w:szCs w:val="24"/>
          <w:highlight w:val="none"/>
          <w:u w:val="none"/>
          <w:lang w:val="en-US" w:eastAsia="zh-CN"/>
        </w:rPr>
        <w:t xml:space="preserve"> </w:t>
      </w:r>
      <w:r>
        <w:rPr>
          <w:rFonts w:hint="eastAsia" w:ascii="仿宋_GB2312" w:hAnsi="仿宋_GB2312" w:eastAsia="仿宋_GB2312" w:cs="仿宋_GB2312"/>
          <w:b/>
          <w:bCs/>
          <w:sz w:val="32"/>
          <w:szCs w:val="32"/>
          <w:highlight w:val="none"/>
          <w:u w:val="none"/>
          <w:lang w:val="en-US" w:eastAsia="zh-CN"/>
        </w:rPr>
        <w:t>1.支持高价值专利创造。</w:t>
      </w:r>
      <w:r>
        <w:rPr>
          <w:rFonts w:hint="eastAsia" w:ascii="仿宋_GB2312" w:hAnsi="仿宋_GB2312" w:eastAsia="仿宋_GB2312" w:cs="仿宋_GB2312"/>
          <w:sz w:val="32"/>
          <w:szCs w:val="32"/>
          <w:highlight w:val="none"/>
          <w:u w:val="none"/>
          <w:lang w:val="en-US" w:eastAsia="zh-CN"/>
        </w:rPr>
        <w:t>知识产权主管部门组织开展高价值专利培育评价，根据培育评价给予5万元至30万元不等的奖励。</w:t>
      </w:r>
      <w:r>
        <w:rPr>
          <w:rFonts w:hint="eastAsia" w:ascii="仿宋_GB2312" w:hAnsi="仿宋_GB2312" w:eastAsia="仿宋_GB2312" w:cs="仿宋_GB2312"/>
          <w:strike w:val="0"/>
          <w:dstrike w:val="0"/>
          <w:sz w:val="32"/>
          <w:szCs w:val="32"/>
          <w:highlight w:val="none"/>
          <w:u w:val="none"/>
          <w:lang w:val="en-US" w:eastAsia="zh-CN"/>
        </w:rPr>
        <w:t>开展数据知识产权培育项目，对企事业单位在省数据知识产权登记平台开展数据知识产权登记的给予1万元以下一次性资助。</w:t>
      </w:r>
    </w:p>
    <w:p w14:paraId="40B593B6">
      <w:pPr>
        <w:keepNext w:val="0"/>
        <w:keepLines w:val="0"/>
        <w:pageBreakBefore w:val="0"/>
        <w:widowControl w:val="0"/>
        <w:kinsoku/>
        <w:wordWrap/>
        <w:overflowPunct/>
        <w:topLinePunct w:val="0"/>
        <w:autoSpaceDE/>
        <w:autoSpaceDN/>
        <w:bidi w:val="0"/>
        <w:adjustRightInd/>
        <w:snapToGrid/>
        <w:spacing w:after="0" w:afterLines="0" w:line="570" w:lineRule="exact"/>
        <w:ind w:left="0" w:leftChars="0" w:firstLine="643" w:firstLineChars="200"/>
        <w:jc w:val="both"/>
        <w:textAlignment w:val="auto"/>
        <w:rPr>
          <w:rFonts w:hint="eastAsia" w:ascii="仿宋_GB2312" w:hAnsi="仿宋_GB2312" w:eastAsia="仿宋_GB2312" w:cs="仿宋_GB2312"/>
          <w:kern w:val="0"/>
          <w:sz w:val="32"/>
          <w:szCs w:val="32"/>
          <w:highlight w:val="none"/>
          <w:u w:val="none"/>
          <w:lang w:val="en-US" w:eastAsia="zh-CN" w:bidi="ar-SA"/>
        </w:rPr>
      </w:pPr>
      <w:r>
        <w:rPr>
          <w:rFonts w:hint="eastAsia" w:ascii="仿宋_GB2312" w:hAnsi="仿宋_GB2312" w:eastAsia="仿宋_GB2312" w:cs="仿宋_GB2312"/>
          <w:b/>
          <w:bCs/>
          <w:kern w:val="0"/>
          <w:sz w:val="32"/>
          <w:szCs w:val="32"/>
          <w:highlight w:val="none"/>
          <w:u w:val="none"/>
          <w:lang w:val="en-US" w:eastAsia="zh-CN" w:bidi="ar-SA"/>
        </w:rPr>
        <w:t>2.开展商标品牌培育工作。</w:t>
      </w:r>
      <w:r>
        <w:rPr>
          <w:rFonts w:hint="eastAsia" w:ascii="仿宋_GB2312" w:hAnsi="仿宋_GB2312" w:eastAsia="仿宋_GB2312" w:cs="仿宋_GB2312"/>
          <w:kern w:val="0"/>
          <w:sz w:val="32"/>
          <w:szCs w:val="32"/>
          <w:highlight w:val="none"/>
          <w:u w:val="none"/>
          <w:lang w:val="en-US" w:eastAsia="zh-CN" w:bidi="ar-SA"/>
        </w:rPr>
        <w:t>对国家知识产权管理部门新认定驰名商标的国内维权保护项目，维权成功后，一次性奖励50万元；对当年获得省商标品牌基地的申报单位给予一次性奖励5万元；对当年获得省商标品牌示范企业的企业给予一次性奖励3万元；对当年国家“千企百城”商标品牌价值提升行动验收通过的单位给予一次性补助10万元。</w:t>
      </w:r>
    </w:p>
    <w:p w14:paraId="5F94C042">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3.支持知识产权优势企业发展。</w:t>
      </w:r>
      <w:r>
        <w:rPr>
          <w:rFonts w:hint="eastAsia" w:ascii="仿宋_GB2312" w:hAnsi="仿宋_GB2312" w:eastAsia="仿宋_GB2312" w:cs="仿宋_GB2312"/>
          <w:sz w:val="32"/>
          <w:szCs w:val="32"/>
          <w:highlight w:val="none"/>
          <w:u w:val="none"/>
          <w:lang w:val="en-US" w:eastAsia="zh-CN"/>
        </w:rPr>
        <w:t>在上级奖励基础上，新认定的国家、省知识产权示范、优势企业分别给予30万元、15万元和15万元、</w:t>
      </w:r>
      <w:r>
        <w:rPr>
          <w:rFonts w:hint="default" w:ascii="仿宋_GB2312" w:hAnsi="仿宋_GB2312" w:eastAsia="仿宋_GB2312" w:cs="仿宋_GB2312"/>
          <w:sz w:val="32"/>
          <w:szCs w:val="32"/>
          <w:highlight w:val="none"/>
          <w:u w:val="none"/>
          <w:lang w:val="en-US" w:eastAsia="zh-CN"/>
        </w:rPr>
        <w:t>10</w:t>
      </w:r>
      <w:r>
        <w:rPr>
          <w:rFonts w:hint="eastAsia" w:ascii="仿宋_GB2312" w:hAnsi="仿宋_GB2312" w:eastAsia="仿宋_GB2312" w:cs="仿宋_GB2312"/>
          <w:sz w:val="32"/>
          <w:szCs w:val="32"/>
          <w:highlight w:val="none"/>
          <w:u w:val="none"/>
          <w:lang w:val="en-US" w:eastAsia="zh-CN"/>
        </w:rPr>
        <w:t>万元一次性奖励；对当年获得国家专利金奖、银奖、优秀奖的单位，分别给予20万元、15万元、10万元一次性奖励; 对获得省专利金奖、银奖、优秀奖的单位，分别给予15万元、10万元、5万元一次性奖励。</w:t>
      </w:r>
    </w:p>
    <w:p w14:paraId="68FEA37B">
      <w:pPr>
        <w:keepNext w:val="0"/>
        <w:keepLines w:val="0"/>
        <w:pageBreakBefore w:val="0"/>
        <w:widowControl w:val="0"/>
        <w:kinsoku/>
        <w:wordWrap/>
        <w:overflowPunct/>
        <w:topLinePunct w:val="0"/>
        <w:autoSpaceDE/>
        <w:autoSpaceDN/>
        <w:bidi w:val="0"/>
        <w:adjustRightInd/>
        <w:snapToGrid/>
        <w:spacing w:after="0" w:afterLines="0" w:line="570" w:lineRule="exact"/>
        <w:ind w:left="0" w:leftChars="0" w:firstLine="640" w:firstLineChars="0"/>
        <w:jc w:val="both"/>
        <w:textAlignment w:val="auto"/>
        <w:rPr>
          <w:rFonts w:hint="eastAsia" w:ascii="仿宋_GB2312" w:hAnsi="仿宋_GB2312" w:eastAsia="仿宋_GB2312" w:cs="仿宋_GB2312"/>
          <w:kern w:val="0"/>
          <w:sz w:val="32"/>
          <w:szCs w:val="32"/>
          <w:highlight w:val="none"/>
          <w:u w:val="none"/>
          <w:lang w:val="en-US" w:eastAsia="zh-CN" w:bidi="ar-SA"/>
        </w:rPr>
      </w:pPr>
      <w:r>
        <w:rPr>
          <w:rFonts w:hint="eastAsia" w:ascii="Times New Roman" w:hAnsi="Times New Roman" w:eastAsia="仿宋_GB2312" w:cs="Times New Roman"/>
          <w:b/>
          <w:bCs/>
          <w:color w:val="auto"/>
          <w:kern w:val="0"/>
          <w:sz w:val="32"/>
          <w:szCs w:val="32"/>
          <w:highlight w:val="none"/>
          <w:u w:val="none"/>
          <w:lang w:val="en-US" w:eastAsia="zh-CN" w:bidi="ar-SA"/>
        </w:rPr>
        <w:t>4.</w:t>
      </w:r>
      <w:r>
        <w:rPr>
          <w:rFonts w:hint="default" w:ascii="Times New Roman" w:hAnsi="Times New Roman" w:eastAsia="仿宋_GB2312" w:cs="Times New Roman"/>
          <w:b/>
          <w:bCs/>
          <w:color w:val="auto"/>
          <w:kern w:val="0"/>
          <w:sz w:val="32"/>
          <w:szCs w:val="32"/>
          <w:highlight w:val="none"/>
          <w:u w:val="none"/>
          <w:lang w:val="en-US" w:eastAsia="zh-CN" w:bidi="ar-SA"/>
        </w:rPr>
        <w:t>鼓励开展知识产权</w:t>
      </w:r>
      <w:r>
        <w:rPr>
          <w:rFonts w:hint="eastAsia" w:ascii="Times New Roman" w:hAnsi="Times New Roman" w:eastAsia="仿宋_GB2312" w:cs="Times New Roman"/>
          <w:b/>
          <w:bCs/>
          <w:color w:val="auto"/>
          <w:kern w:val="0"/>
          <w:sz w:val="32"/>
          <w:szCs w:val="32"/>
          <w:highlight w:val="none"/>
          <w:u w:val="none"/>
          <w:lang w:val="en-US" w:eastAsia="zh-CN" w:bidi="ar-SA"/>
        </w:rPr>
        <w:t>和商业秘密</w:t>
      </w:r>
      <w:r>
        <w:rPr>
          <w:rFonts w:hint="default" w:ascii="Times New Roman" w:hAnsi="Times New Roman" w:eastAsia="仿宋_GB2312" w:cs="Times New Roman"/>
          <w:b/>
          <w:bCs/>
          <w:color w:val="auto"/>
          <w:kern w:val="0"/>
          <w:sz w:val="32"/>
          <w:szCs w:val="32"/>
          <w:highlight w:val="none"/>
          <w:u w:val="none"/>
          <w:lang w:val="en-US" w:eastAsia="zh-CN" w:bidi="ar-SA"/>
        </w:rPr>
        <w:t>管理标准化建设。</w:t>
      </w:r>
      <w:r>
        <w:rPr>
          <w:rFonts w:hint="eastAsia" w:ascii="仿宋_GB2312" w:hAnsi="仿宋_GB2312" w:eastAsia="仿宋_GB2312" w:cs="仿宋_GB2312"/>
          <w:kern w:val="0"/>
          <w:sz w:val="32"/>
          <w:szCs w:val="32"/>
          <w:highlight w:val="none"/>
          <w:u w:val="none"/>
          <w:lang w:val="en-US" w:eastAsia="zh-CN" w:bidi="ar-SA"/>
        </w:rPr>
        <w:t>对首次通过国家知识产权管理规范认证的企业，当年经核查其制度有效运行的给予2万元奖励。对实施ISO56005知识产权管理国际标准的企业奖励5万元。对当年认定的国家、省级商业秘密保护示范基地(示范站、示范点)单位，分别给予5万元、3万元的一次性奖励；对企业通过安徽省地方标准企业商业秘密管理体系要求认证的奖励2万元。</w:t>
      </w:r>
    </w:p>
    <w:p w14:paraId="614F716F">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ascii="仿宋_GB2312" w:hAnsi="仿宋_GB2312" w:eastAsia="仿宋_GB2312" w:cs="仿宋_GB2312"/>
          <w:sz w:val="32"/>
          <w:szCs w:val="32"/>
          <w:highlight w:val="none"/>
          <w:u w:val="none"/>
        </w:rPr>
      </w:pPr>
      <w:r>
        <w:rPr>
          <w:rFonts w:hint="eastAsia" w:ascii="仿宋_GB2312" w:hAnsi="仿宋_GB2312" w:eastAsia="仿宋_GB2312" w:cs="仿宋_GB2312"/>
          <w:b/>
          <w:bCs/>
          <w:sz w:val="32"/>
          <w:szCs w:val="32"/>
          <w:highlight w:val="none"/>
          <w:u w:val="none"/>
          <w:lang w:val="en-US" w:eastAsia="zh-CN"/>
        </w:rPr>
        <w:t>5.支持知识产权布局和预警能力建设。</w:t>
      </w:r>
      <w:r>
        <w:rPr>
          <w:rFonts w:hint="eastAsia" w:ascii="仿宋_GB2312" w:hAnsi="仿宋_GB2312" w:eastAsia="仿宋_GB2312" w:cs="仿宋_GB2312"/>
          <w:sz w:val="32"/>
          <w:szCs w:val="32"/>
          <w:highlight w:val="none"/>
          <w:u w:val="none"/>
          <w:lang w:val="en-US" w:eastAsia="zh-CN"/>
        </w:rPr>
        <w:t>企事业单位开展专利导航项目、海外知识产权预警项目的，经知识产权主管部门验收合格后，按照实际费用的50%进行资助，最高不超过10万元；在省级知识产权类平台登记的项目额外给予5万元资助。企事业单位申报开展产业专利导航服务基地建设</w:t>
      </w:r>
      <w:r>
        <w:rPr>
          <w:rFonts w:hint="eastAsia" w:ascii="仿宋_GB2312" w:hAnsi="仿宋_GB2312" w:eastAsia="仿宋_GB2312" w:cs="仿宋_GB2312"/>
          <w:sz w:val="32"/>
          <w:szCs w:val="32"/>
          <w:highlight w:val="none"/>
          <w:u w:val="none"/>
        </w:rPr>
        <w:t>并获省</w:t>
      </w:r>
      <w:r>
        <w:rPr>
          <w:rFonts w:hint="eastAsia" w:ascii="仿宋_GB2312" w:hAnsi="仿宋_GB2312" w:eastAsia="仿宋_GB2312" w:cs="仿宋_GB2312"/>
          <w:sz w:val="32"/>
          <w:szCs w:val="32"/>
          <w:highlight w:val="none"/>
          <w:u w:val="none"/>
          <w:lang w:val="en-US" w:eastAsia="zh-CN"/>
        </w:rPr>
        <w:t>市场监督管理</w:t>
      </w:r>
      <w:r>
        <w:rPr>
          <w:rFonts w:hint="eastAsia" w:ascii="仿宋_GB2312" w:hAnsi="仿宋_GB2312" w:eastAsia="仿宋_GB2312" w:cs="仿宋_GB2312"/>
          <w:sz w:val="32"/>
          <w:szCs w:val="32"/>
          <w:highlight w:val="none"/>
          <w:u w:val="none"/>
        </w:rPr>
        <w:t>局批准的</w:t>
      </w:r>
      <w:r>
        <w:rPr>
          <w:rFonts w:ascii="仿宋_GB2312" w:hAnsi="仿宋_GB2312" w:eastAsia="仿宋_GB2312" w:cs="仿宋_GB2312"/>
          <w:sz w:val="32"/>
          <w:szCs w:val="32"/>
          <w:highlight w:val="none"/>
          <w:u w:val="none"/>
        </w:rPr>
        <w:t>，</w:t>
      </w:r>
      <w:r>
        <w:rPr>
          <w:rFonts w:hint="eastAsia" w:ascii="仿宋_GB2312" w:hAnsi="仿宋_GB2312" w:eastAsia="仿宋_GB2312" w:cs="仿宋_GB2312"/>
          <w:sz w:val="32"/>
          <w:szCs w:val="32"/>
          <w:highlight w:val="none"/>
          <w:u w:val="none"/>
          <w:lang w:val="en-US" w:eastAsia="zh-CN"/>
        </w:rPr>
        <w:t>给予5万元资助。产业专利导航服务基地经</w:t>
      </w:r>
      <w:r>
        <w:rPr>
          <w:rFonts w:hint="eastAsia" w:ascii="仿宋_GB2312" w:hAnsi="仿宋_GB2312" w:eastAsia="仿宋_GB2312" w:cs="仿宋_GB2312"/>
          <w:sz w:val="32"/>
          <w:szCs w:val="32"/>
          <w:highlight w:val="none"/>
          <w:u w:val="none"/>
        </w:rPr>
        <w:t>省</w:t>
      </w:r>
      <w:r>
        <w:rPr>
          <w:rFonts w:hint="eastAsia" w:ascii="仿宋_GB2312" w:hAnsi="仿宋_GB2312" w:eastAsia="仿宋_GB2312" w:cs="仿宋_GB2312"/>
          <w:sz w:val="32"/>
          <w:szCs w:val="32"/>
          <w:highlight w:val="none"/>
          <w:u w:val="none"/>
          <w:lang w:val="en-US" w:eastAsia="zh-CN"/>
        </w:rPr>
        <w:t>市场监督管理</w:t>
      </w:r>
      <w:r>
        <w:rPr>
          <w:rFonts w:hint="eastAsia" w:ascii="仿宋_GB2312" w:hAnsi="仿宋_GB2312" w:eastAsia="仿宋_GB2312" w:cs="仿宋_GB2312"/>
          <w:sz w:val="32"/>
          <w:szCs w:val="32"/>
          <w:highlight w:val="none"/>
          <w:u w:val="none"/>
        </w:rPr>
        <w:t>局</w:t>
      </w:r>
      <w:r>
        <w:rPr>
          <w:rFonts w:hint="eastAsia" w:ascii="仿宋_GB2312" w:hAnsi="仿宋_GB2312" w:eastAsia="仿宋_GB2312" w:cs="仿宋_GB2312"/>
          <w:sz w:val="32"/>
          <w:szCs w:val="32"/>
          <w:highlight w:val="none"/>
          <w:u w:val="none"/>
          <w:lang w:val="en-US" w:eastAsia="zh-CN"/>
        </w:rPr>
        <w:t>验收合格后，给予建设支出50%的资助，最高不超过20万元。</w:t>
      </w:r>
      <w:r>
        <w:rPr>
          <w:rFonts w:ascii="仿宋_GB2312" w:hAnsi="仿宋_GB2312" w:eastAsia="仿宋_GB2312" w:cs="仿宋_GB2312"/>
          <w:sz w:val="32"/>
          <w:szCs w:val="32"/>
          <w:highlight w:val="none"/>
          <w:u w:val="none"/>
        </w:rPr>
        <w:t>按照《高校知识产权信息服务中心建设实施办法》（国知办发服字〔2021〕23号），</w:t>
      </w:r>
      <w:r>
        <w:rPr>
          <w:rFonts w:hint="eastAsia" w:ascii="仿宋_GB2312" w:hAnsi="仿宋_GB2312" w:eastAsia="仿宋_GB2312" w:cs="仿宋_GB2312"/>
          <w:sz w:val="32"/>
          <w:szCs w:val="32"/>
          <w:highlight w:val="none"/>
          <w:u w:val="none"/>
        </w:rPr>
        <w:t>经</w:t>
      </w:r>
      <w:r>
        <w:rPr>
          <w:rFonts w:ascii="仿宋_GB2312" w:hAnsi="仿宋_GB2312" w:eastAsia="仿宋_GB2312" w:cs="仿宋_GB2312"/>
          <w:sz w:val="32"/>
          <w:szCs w:val="32"/>
          <w:highlight w:val="none"/>
          <w:u w:val="none"/>
        </w:rPr>
        <w:t>国家知识产权局、教育部</w:t>
      </w:r>
      <w:r>
        <w:rPr>
          <w:rFonts w:hint="eastAsia" w:ascii="仿宋_GB2312" w:hAnsi="仿宋_GB2312" w:eastAsia="仿宋_GB2312" w:cs="仿宋_GB2312"/>
          <w:sz w:val="32"/>
          <w:szCs w:val="32"/>
          <w:highlight w:val="none"/>
          <w:u w:val="none"/>
        </w:rPr>
        <w:t>遴选为高校国家知识产权信息服务中心的，</w:t>
      </w:r>
      <w:r>
        <w:rPr>
          <w:rFonts w:hint="eastAsia" w:ascii="仿宋_GB2312" w:hAnsi="仿宋_GB2312" w:eastAsia="仿宋_GB2312" w:cs="仿宋_GB2312"/>
          <w:sz w:val="32"/>
          <w:szCs w:val="32"/>
          <w:highlight w:val="none"/>
          <w:u w:val="none"/>
          <w:lang w:val="en-US" w:eastAsia="zh-CN"/>
        </w:rPr>
        <w:t>给予建设支出50%的资助，</w:t>
      </w:r>
      <w:r>
        <w:rPr>
          <w:rFonts w:ascii="仿宋_GB2312" w:hAnsi="仿宋_GB2312" w:eastAsia="仿宋_GB2312" w:cs="仿宋_GB2312"/>
          <w:sz w:val="32"/>
          <w:szCs w:val="32"/>
          <w:highlight w:val="none"/>
          <w:u w:val="none"/>
        </w:rPr>
        <w:t>最高补助</w:t>
      </w:r>
      <w:r>
        <w:rPr>
          <w:rFonts w:hint="eastAsia" w:ascii="仿宋_GB2312" w:hAnsi="仿宋_GB2312" w:eastAsia="仿宋_GB2312" w:cs="仿宋_GB2312"/>
          <w:sz w:val="32"/>
          <w:szCs w:val="32"/>
          <w:highlight w:val="none"/>
          <w:u w:val="none"/>
        </w:rPr>
        <w:t>25</w:t>
      </w:r>
      <w:r>
        <w:rPr>
          <w:rFonts w:ascii="仿宋_GB2312" w:hAnsi="仿宋_GB2312" w:eastAsia="仿宋_GB2312" w:cs="仿宋_GB2312"/>
          <w:sz w:val="32"/>
          <w:szCs w:val="32"/>
          <w:highlight w:val="none"/>
          <w:u w:val="none"/>
        </w:rPr>
        <w:t>万元。</w:t>
      </w:r>
    </w:p>
    <w:p w14:paraId="77C0B2B4">
      <w:pPr>
        <w:keepNext w:val="0"/>
        <w:keepLines w:val="0"/>
        <w:pageBreakBefore w:val="0"/>
        <w:widowControl w:val="0"/>
        <w:suppressLineNumbers w:val="0"/>
        <w:kinsoku/>
        <w:wordWrap/>
        <w:overflowPunct/>
        <w:topLinePunct w:val="0"/>
        <w:autoSpaceDE/>
        <w:autoSpaceDN/>
        <w:bidi w:val="0"/>
        <w:adjustRightInd/>
        <w:snapToGrid/>
        <w:spacing w:line="570" w:lineRule="exact"/>
        <w:ind w:firstLine="643" w:firstLineChars="200"/>
        <w:jc w:val="left"/>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b/>
          <w:bCs/>
          <w:sz w:val="32"/>
          <w:szCs w:val="32"/>
          <w:highlight w:val="none"/>
          <w:u w:val="none"/>
          <w:lang w:val="en-US" w:eastAsia="zh-CN"/>
        </w:rPr>
        <w:t>6.鼓励知识产权金融发展。</w:t>
      </w:r>
      <w:r>
        <w:rPr>
          <w:rFonts w:hint="eastAsia" w:ascii="仿宋_GB2312" w:hAnsi="仿宋_GB2312" w:eastAsia="仿宋_GB2312" w:cs="仿宋_GB2312"/>
          <w:sz w:val="32"/>
          <w:szCs w:val="32"/>
          <w:highlight w:val="none"/>
          <w:u w:val="none"/>
          <w:lang w:val="en-US" w:eastAsia="zh-CN"/>
        </w:rPr>
        <w:t>对企业以商标权、专利权、数据知识产权质押贷款融资并按期归还的，按商标、专利、数据知识产权评估费和贷款利息总额的3</w:t>
      </w:r>
      <w:r>
        <w:rPr>
          <w:rFonts w:hint="default" w:ascii="仿宋_GB2312" w:hAnsi="仿宋_GB2312" w:eastAsia="仿宋_GB2312" w:cs="仿宋_GB2312"/>
          <w:sz w:val="32"/>
          <w:szCs w:val="32"/>
          <w:highlight w:val="none"/>
          <w:u w:val="none"/>
          <w:lang w:val="en-US" w:eastAsia="zh-CN"/>
        </w:rPr>
        <w:t>0%</w:t>
      </w:r>
      <w:r>
        <w:rPr>
          <w:rFonts w:hint="eastAsia" w:ascii="仿宋_GB2312" w:hAnsi="仿宋_GB2312" w:eastAsia="仿宋_GB2312" w:cs="仿宋_GB2312"/>
          <w:sz w:val="32"/>
          <w:szCs w:val="32"/>
          <w:highlight w:val="none"/>
          <w:u w:val="none"/>
          <w:lang w:val="en-US" w:eastAsia="zh-CN"/>
        </w:rPr>
        <w:t>比例予以补助，单个企业每年补助不超过</w:t>
      </w:r>
      <w:r>
        <w:rPr>
          <w:rFonts w:hint="default" w:ascii="仿宋_GB2312" w:hAnsi="仿宋_GB2312" w:eastAsia="仿宋_GB2312" w:cs="仿宋_GB2312"/>
          <w:sz w:val="32"/>
          <w:szCs w:val="32"/>
          <w:highlight w:val="none"/>
          <w:u w:val="none"/>
          <w:lang w:val="en-US" w:eastAsia="zh-CN"/>
        </w:rPr>
        <w:t>30</w:t>
      </w:r>
      <w:r>
        <w:rPr>
          <w:rFonts w:hint="eastAsia" w:ascii="仿宋_GB2312" w:hAnsi="仿宋_GB2312" w:eastAsia="仿宋_GB2312" w:cs="仿宋_GB2312"/>
          <w:sz w:val="32"/>
          <w:szCs w:val="32"/>
          <w:highlight w:val="none"/>
          <w:u w:val="none"/>
          <w:lang w:val="en-US" w:eastAsia="zh-CN"/>
        </w:rPr>
        <w:t>万元；对已享受上级同类政策的，按前款兑付标准补足差额（</w:t>
      </w:r>
      <w:r>
        <w:rPr>
          <w:rFonts w:ascii="仿宋_GB2312" w:hAnsi="宋体" w:eastAsia="仿宋_GB2312" w:cs="仿宋_GB2312"/>
          <w:color w:val="000000"/>
          <w:kern w:val="0"/>
          <w:sz w:val="31"/>
          <w:szCs w:val="31"/>
          <w:highlight w:val="none"/>
          <w:u w:val="none"/>
          <w:lang w:val="en-US" w:eastAsia="zh-CN" w:bidi="ar"/>
        </w:rPr>
        <w:t>根据每年资金预算</w:t>
      </w:r>
      <w:r>
        <w:rPr>
          <w:rFonts w:hint="eastAsia" w:ascii="仿宋_GB2312" w:hAnsi="宋体" w:eastAsia="仿宋_GB2312" w:cs="仿宋_GB2312"/>
          <w:color w:val="000000"/>
          <w:kern w:val="0"/>
          <w:sz w:val="31"/>
          <w:szCs w:val="31"/>
          <w:highlight w:val="none"/>
          <w:u w:val="none"/>
          <w:lang w:val="en-US" w:eastAsia="zh-CN" w:bidi="ar"/>
        </w:rPr>
        <w:t>安排资金</w:t>
      </w:r>
      <w:r>
        <w:rPr>
          <w:rFonts w:ascii="仿宋_GB2312" w:hAnsi="宋体" w:eastAsia="仿宋_GB2312" w:cs="仿宋_GB2312"/>
          <w:color w:val="000000"/>
          <w:kern w:val="0"/>
          <w:sz w:val="31"/>
          <w:szCs w:val="31"/>
          <w:highlight w:val="none"/>
          <w:u w:val="none"/>
          <w:lang w:val="en-US" w:eastAsia="zh-CN" w:bidi="ar"/>
        </w:rPr>
        <w:t>，</w:t>
      </w:r>
      <w:r>
        <w:rPr>
          <w:rFonts w:hint="eastAsia" w:ascii="仿宋_GB2312" w:hAnsi="宋体" w:eastAsia="仿宋_GB2312" w:cs="仿宋_GB2312"/>
          <w:color w:val="000000"/>
          <w:kern w:val="0"/>
          <w:sz w:val="31"/>
          <w:szCs w:val="31"/>
          <w:highlight w:val="none"/>
          <w:u w:val="none"/>
          <w:lang w:val="en-US" w:eastAsia="zh-CN" w:bidi="ar"/>
        </w:rPr>
        <w:t>超预算则</w:t>
      </w:r>
      <w:r>
        <w:rPr>
          <w:rFonts w:ascii="仿宋_GB2312" w:hAnsi="宋体" w:eastAsia="仿宋_GB2312" w:cs="仿宋_GB2312"/>
          <w:color w:val="000000"/>
          <w:kern w:val="0"/>
          <w:sz w:val="31"/>
          <w:szCs w:val="31"/>
          <w:highlight w:val="none"/>
          <w:u w:val="none"/>
          <w:lang w:val="en-US" w:eastAsia="zh-CN" w:bidi="ar"/>
        </w:rPr>
        <w:t>按比例打折兑付</w:t>
      </w:r>
      <w:r>
        <w:rPr>
          <w:rFonts w:hint="eastAsia" w:ascii="仿宋_GB2312" w:hAnsi="仿宋_GB2312" w:eastAsia="仿宋_GB2312" w:cs="仿宋_GB2312"/>
          <w:sz w:val="32"/>
          <w:szCs w:val="32"/>
          <w:highlight w:val="none"/>
          <w:u w:val="none"/>
          <w:lang w:val="en-US" w:eastAsia="zh-CN"/>
        </w:rPr>
        <w:t>）。对当年成功发行知识产权证券化产品的参与企业，按照融资金额的1%给予额外奖励，单个企业当年补助不超过10万元。</w:t>
      </w:r>
    </w:p>
    <w:p w14:paraId="032B87E4">
      <w:pPr>
        <w:keepNext w:val="0"/>
        <w:keepLines w:val="0"/>
        <w:pageBreakBefore w:val="0"/>
        <w:widowControl w:val="0"/>
        <w:kinsoku/>
        <w:wordWrap/>
        <w:overflowPunct/>
        <w:topLinePunct w:val="0"/>
        <w:autoSpaceDE/>
        <w:autoSpaceDN/>
        <w:bidi w:val="0"/>
        <w:adjustRightInd/>
        <w:snapToGrid/>
        <w:spacing w:after="0" w:afterLines="0" w:line="570" w:lineRule="exact"/>
        <w:ind w:left="120" w:firstLine="643" w:firstLineChars="200"/>
        <w:jc w:val="both"/>
        <w:textAlignment w:val="auto"/>
        <w:rPr>
          <w:rFonts w:hint="eastAsia" w:ascii="仿宋_GB2312" w:hAnsi="仿宋_GB2312" w:eastAsia="仿宋_GB2312" w:cs="仿宋_GB2312"/>
          <w:kern w:val="0"/>
          <w:sz w:val="32"/>
          <w:szCs w:val="32"/>
          <w:highlight w:val="none"/>
          <w:u w:val="none"/>
          <w:lang w:val="en-US" w:eastAsia="zh-CN" w:bidi="ar-SA"/>
        </w:rPr>
      </w:pPr>
      <w:r>
        <w:rPr>
          <w:rFonts w:hint="eastAsia" w:ascii="仿宋_GB2312" w:hAnsi="仿宋_GB2312" w:eastAsia="仿宋_GB2312" w:cs="仿宋_GB2312"/>
          <w:b/>
          <w:bCs/>
          <w:kern w:val="0"/>
          <w:sz w:val="32"/>
          <w:szCs w:val="32"/>
          <w:highlight w:val="none"/>
          <w:u w:val="none"/>
          <w:lang w:val="en-US" w:eastAsia="zh-CN" w:bidi="ar-SA"/>
        </w:rPr>
        <w:t>7.鼓励开展知识产权维权。</w:t>
      </w:r>
      <w:r>
        <w:rPr>
          <w:rFonts w:hint="eastAsia" w:ascii="仿宋_GB2312" w:hAnsi="仿宋_GB2312" w:eastAsia="仿宋_GB2312" w:cs="仿宋_GB2312"/>
          <w:kern w:val="0"/>
          <w:sz w:val="32"/>
          <w:szCs w:val="32"/>
          <w:highlight w:val="none"/>
          <w:u w:val="none"/>
          <w:lang w:val="en-US" w:eastAsia="zh-CN" w:bidi="ar-SA"/>
        </w:rPr>
        <w:t>对专利或商标权人</w:t>
      </w:r>
      <w:r>
        <w:rPr>
          <w:rFonts w:hint="default" w:ascii="仿宋_GB2312" w:hAnsi="仿宋_GB2312" w:eastAsia="仿宋_GB2312" w:cs="仿宋_GB2312"/>
          <w:kern w:val="0"/>
          <w:sz w:val="32"/>
          <w:szCs w:val="32"/>
          <w:highlight w:val="none"/>
          <w:u w:val="none"/>
          <w:lang w:val="en-US" w:eastAsia="zh-CN" w:bidi="ar-SA"/>
        </w:rPr>
        <w:t>维权（行政处理程序、司法诉讼程序、仲裁、无效或异议程序）已终结并获得胜诉的，按照实际支付的合理费用（包括诉讼费、仲裁费、无效异议请求费、代理费等）</w:t>
      </w:r>
      <w:r>
        <w:rPr>
          <w:rFonts w:hint="eastAsia" w:ascii="仿宋_GB2312" w:hAnsi="仿宋_GB2312" w:eastAsia="仿宋_GB2312" w:cs="仿宋_GB2312"/>
          <w:kern w:val="0"/>
          <w:sz w:val="32"/>
          <w:szCs w:val="32"/>
          <w:highlight w:val="none"/>
          <w:u w:val="none"/>
          <w:lang w:val="en-US" w:eastAsia="zh-CN" w:bidi="ar-SA"/>
        </w:rPr>
        <w:t>按20%的比例给予一次性维权费用支持，补助额度国内维权不超过2万元、涉外维权不超过10万元；单个维权主体每年维权费用支持不超过10万元。对企业投保专利执行险、专利侵权责任险、专利权质押贷款保证保险、专利代理人职业责任险等专利保险的 (具体按国家金融监督管理总局官网备案产品目录)，给予投保企业实际支出保费的50%，每家企业每年最高5万元的一次性补助。</w:t>
      </w:r>
    </w:p>
    <w:p w14:paraId="2D7D0CE9">
      <w:pPr>
        <w:keepNext w:val="0"/>
        <w:keepLines w:val="0"/>
        <w:pageBreakBefore w:val="0"/>
        <w:widowControl w:val="0"/>
        <w:kinsoku/>
        <w:wordWrap/>
        <w:overflowPunct/>
        <w:topLinePunct w:val="0"/>
        <w:autoSpaceDE/>
        <w:autoSpaceDN/>
        <w:bidi w:val="0"/>
        <w:adjustRightInd/>
        <w:snapToGrid/>
        <w:spacing w:after="0" w:afterLines="0" w:line="570" w:lineRule="exact"/>
        <w:ind w:left="120" w:firstLine="643" w:firstLineChars="200"/>
        <w:jc w:val="both"/>
        <w:textAlignment w:val="auto"/>
        <w:rPr>
          <w:rFonts w:hint="eastAsia" w:ascii="仿宋_GB2312" w:hAnsi="宋体" w:eastAsia="仿宋_GB2312" w:cs="宋体"/>
          <w:kern w:val="0"/>
          <w:sz w:val="32"/>
          <w:szCs w:val="32"/>
          <w:highlight w:val="none"/>
          <w:u w:val="none"/>
          <w:lang w:val="en-US" w:eastAsia="zh-CN" w:bidi="ar-SA"/>
        </w:rPr>
      </w:pPr>
      <w:r>
        <w:rPr>
          <w:rFonts w:hint="eastAsia" w:ascii="仿宋_GB2312" w:hAnsi="仿宋_GB2312" w:eastAsia="仿宋_GB2312" w:cs="仿宋_GB2312"/>
          <w:b/>
          <w:bCs/>
          <w:kern w:val="0"/>
          <w:sz w:val="32"/>
          <w:szCs w:val="32"/>
          <w:highlight w:val="none"/>
          <w:u w:val="none"/>
          <w:lang w:val="en-US" w:eastAsia="zh-CN" w:bidi="ar-SA"/>
        </w:rPr>
        <w:t>8.</w:t>
      </w:r>
      <w:r>
        <w:rPr>
          <w:rFonts w:ascii="仿宋_GB2312" w:hAnsi="宋体" w:eastAsia="仿宋_GB2312" w:cs="宋体"/>
          <w:b/>
          <w:bCs/>
          <w:kern w:val="0"/>
          <w:sz w:val="32"/>
          <w:szCs w:val="32"/>
          <w:highlight w:val="none"/>
          <w:u w:val="none"/>
          <w:lang w:val="en-US" w:eastAsia="zh-CN" w:bidi="ar-SA"/>
        </w:rPr>
        <w:t>支持知识产权服务能力提升。</w:t>
      </w:r>
      <w:r>
        <w:rPr>
          <w:rFonts w:hint="eastAsia" w:ascii="仿宋_GB2312" w:hAnsi="宋体" w:eastAsia="仿宋_GB2312" w:cs="宋体"/>
          <w:kern w:val="0"/>
          <w:sz w:val="32"/>
          <w:szCs w:val="32"/>
          <w:highlight w:val="none"/>
          <w:u w:val="none"/>
          <w:lang w:val="en-US" w:eastAsia="zh-CN" w:bidi="ar-SA"/>
        </w:rPr>
        <w:t>对</w:t>
      </w:r>
      <w:r>
        <w:rPr>
          <w:rFonts w:ascii="仿宋_GB2312" w:hAnsi="宋体" w:eastAsia="仿宋_GB2312" w:cs="宋体"/>
          <w:kern w:val="0"/>
          <w:sz w:val="32"/>
          <w:szCs w:val="32"/>
          <w:highlight w:val="none"/>
          <w:u w:val="none"/>
          <w:lang w:val="en-US" w:eastAsia="zh-CN" w:bidi="ar-SA"/>
        </w:rPr>
        <w:t>从事专利代理业务的专利代理机构</w:t>
      </w:r>
      <w:r>
        <w:rPr>
          <w:rFonts w:hint="eastAsia" w:ascii="仿宋_GB2312" w:hAnsi="宋体" w:eastAsia="仿宋_GB2312" w:cs="宋体"/>
          <w:kern w:val="0"/>
          <w:sz w:val="32"/>
          <w:szCs w:val="32"/>
          <w:highlight w:val="none"/>
          <w:u w:val="none"/>
          <w:lang w:val="en-US" w:eastAsia="zh-CN" w:bidi="ar-SA"/>
        </w:rPr>
        <w:t>开展绩效考核，根据其考核等次分别给予5万元、10万元、15万元和20万元奖励。对当年获得国家、省“优秀知识产权专员”的知识产权工作者，给予每人5000元、2000元奖励。</w:t>
      </w:r>
    </w:p>
    <w:p w14:paraId="1C8F5092">
      <w:pPr>
        <w:keepNext w:val="0"/>
        <w:keepLines w:val="0"/>
        <w:pageBreakBefore w:val="0"/>
        <w:widowControl w:val="0"/>
        <w:kinsoku/>
        <w:wordWrap/>
        <w:overflowPunct/>
        <w:topLinePunct w:val="0"/>
        <w:autoSpaceDE/>
        <w:autoSpaceDN/>
        <w:bidi w:val="0"/>
        <w:adjustRightInd/>
        <w:snapToGrid/>
        <w:spacing w:after="0" w:afterLines="0" w:line="570" w:lineRule="exact"/>
        <w:ind w:left="120" w:firstLine="643" w:firstLineChars="200"/>
        <w:jc w:val="both"/>
        <w:textAlignment w:val="auto"/>
        <w:rPr>
          <w:rFonts w:hint="eastAsia" w:ascii="Times New Roman" w:hAnsi="Times New Roman" w:eastAsia="仿宋_GB2312" w:cs="Times New Roman"/>
          <w:b w:val="0"/>
          <w:bCs w:val="0"/>
          <w:strike w:val="0"/>
          <w:dstrike w:val="0"/>
          <w:color w:val="auto"/>
          <w:kern w:val="0"/>
          <w:sz w:val="32"/>
          <w:szCs w:val="32"/>
          <w:highlight w:val="none"/>
          <w:u w:val="none"/>
          <w:lang w:val="en-US" w:eastAsia="zh-CN" w:bidi="ar-SA"/>
        </w:rPr>
      </w:pPr>
      <w:r>
        <w:rPr>
          <w:rFonts w:hint="eastAsia" w:ascii="仿宋_GB2312" w:hAnsi="宋体" w:eastAsia="仿宋_GB2312" w:cs="宋体"/>
          <w:b/>
          <w:bCs/>
          <w:kern w:val="0"/>
          <w:sz w:val="32"/>
          <w:szCs w:val="32"/>
          <w:highlight w:val="none"/>
          <w:u w:val="none"/>
          <w:lang w:val="en-US" w:eastAsia="zh-CN" w:bidi="ar-SA"/>
        </w:rPr>
        <w:t>9.</w:t>
      </w:r>
      <w:r>
        <w:rPr>
          <w:rFonts w:hint="default" w:ascii="Times New Roman" w:hAnsi="Times New Roman" w:eastAsia="仿宋_GB2312" w:cs="Times New Roman"/>
          <w:b/>
          <w:bCs/>
          <w:color w:val="auto"/>
          <w:kern w:val="0"/>
          <w:sz w:val="32"/>
          <w:szCs w:val="32"/>
          <w:highlight w:val="none"/>
          <w:u w:val="none"/>
          <w:lang w:val="en-US" w:eastAsia="zh-CN" w:bidi="ar-SA"/>
        </w:rPr>
        <w:t>鼓励开展专利转化运用。</w:t>
      </w:r>
      <w:r>
        <w:rPr>
          <w:rFonts w:hint="eastAsia" w:ascii="仿宋_GB2312" w:hAnsi="宋体" w:eastAsia="仿宋_GB2312" w:cs="宋体"/>
          <w:kern w:val="0"/>
          <w:sz w:val="32"/>
          <w:szCs w:val="32"/>
          <w:highlight w:val="none"/>
          <w:u w:val="none"/>
          <w:lang w:val="en-US" w:eastAsia="zh-CN" w:bidi="ar-SA"/>
        </w:rPr>
        <w:t>对当年新增备案的专利密集型产品，按500元/件的标准给予每家每年最高1万元的一次性补助；当年被国家知识产权局认定为专利密集型产品的，额外按照每件2万元的标准，给予每家企业每年不超过10万元的一次性奖励。</w:t>
      </w:r>
      <w:r>
        <w:rPr>
          <w:rFonts w:hint="eastAsia" w:ascii="Times New Roman" w:hAnsi="Times New Roman" w:eastAsia="仿宋_GB2312" w:cs="Times New Roman"/>
          <w:b w:val="0"/>
          <w:bCs w:val="0"/>
          <w:strike w:val="0"/>
          <w:dstrike w:val="0"/>
          <w:color w:val="auto"/>
          <w:kern w:val="0"/>
          <w:sz w:val="32"/>
          <w:szCs w:val="32"/>
          <w:highlight w:val="none"/>
          <w:u w:val="none"/>
          <w:lang w:val="en-US" w:eastAsia="zh-CN" w:bidi="ar-SA"/>
        </w:rPr>
        <w:t>开展专利开放许可评估，对实际达成开放许可的权利人给予不超过5万元的奖励。</w:t>
      </w:r>
    </w:p>
    <w:p w14:paraId="76534CD7">
      <w:pPr>
        <w:keepNext w:val="0"/>
        <w:keepLines w:val="0"/>
        <w:pageBreakBefore w:val="0"/>
        <w:widowControl w:val="0"/>
        <w:kinsoku/>
        <w:wordWrap/>
        <w:overflowPunct/>
        <w:topLinePunct w:val="0"/>
        <w:autoSpaceDE/>
        <w:autoSpaceDN/>
        <w:bidi w:val="0"/>
        <w:adjustRightInd/>
        <w:snapToGrid/>
        <w:spacing w:after="0" w:afterLines="0" w:line="570" w:lineRule="exact"/>
        <w:ind w:left="120" w:firstLine="643" w:firstLineChars="200"/>
        <w:jc w:val="both"/>
        <w:textAlignment w:val="auto"/>
        <w:rPr>
          <w:rFonts w:hint="default" w:ascii="仿宋_GB2312" w:hAnsi="宋体" w:eastAsia="仿宋_GB2312" w:cs="宋体"/>
          <w:strike w:val="0"/>
          <w:dstrike w:val="0"/>
          <w:kern w:val="0"/>
          <w:sz w:val="32"/>
          <w:szCs w:val="32"/>
          <w:highlight w:val="none"/>
          <w:u w:val="none"/>
          <w:lang w:val="en-US" w:eastAsia="zh-CN" w:bidi="ar-SA"/>
        </w:rPr>
      </w:pPr>
      <w:r>
        <w:rPr>
          <w:rFonts w:hint="eastAsia" w:ascii="Times New Roman" w:hAnsi="Times New Roman" w:eastAsia="仿宋_GB2312" w:cs="Times New Roman"/>
          <w:b/>
          <w:bCs/>
          <w:color w:val="auto"/>
          <w:kern w:val="2"/>
          <w:sz w:val="32"/>
          <w:szCs w:val="32"/>
          <w:highlight w:val="none"/>
          <w:u w:val="none"/>
          <w:lang w:val="en-US" w:eastAsia="zh-CN" w:bidi="ar-SA"/>
        </w:rPr>
        <w:t>10.</w:t>
      </w:r>
      <w:r>
        <w:rPr>
          <w:rFonts w:hint="default" w:ascii="Times New Roman" w:hAnsi="Times New Roman" w:eastAsia="仿宋_GB2312" w:cs="Times New Roman"/>
          <w:b/>
          <w:bCs/>
          <w:color w:val="auto"/>
          <w:kern w:val="2"/>
          <w:sz w:val="32"/>
          <w:szCs w:val="32"/>
          <w:highlight w:val="none"/>
          <w:u w:val="none"/>
          <w:lang w:val="en-US" w:eastAsia="zh-CN" w:bidi="ar-SA"/>
        </w:rPr>
        <w:t>推动质量品牌建设。</w:t>
      </w:r>
      <w:r>
        <w:rPr>
          <w:rFonts w:hint="eastAsia" w:ascii="Times New Roman" w:hAnsi="Times New Roman" w:eastAsia="仿宋_GB2312" w:cs="Times New Roman"/>
          <w:b w:val="0"/>
          <w:bCs w:val="0"/>
          <w:color w:val="auto"/>
          <w:kern w:val="2"/>
          <w:sz w:val="32"/>
          <w:szCs w:val="32"/>
          <w:highlight w:val="none"/>
          <w:u w:val="none"/>
          <w:lang w:val="en-US" w:eastAsia="zh-CN" w:bidi="ar-SA"/>
        </w:rPr>
        <w:t>在上级政策基础上，</w:t>
      </w:r>
      <w:r>
        <w:rPr>
          <w:rFonts w:hint="eastAsia" w:ascii="仿宋_GB2312" w:hAnsi="宋体" w:eastAsia="仿宋_GB2312" w:cs="宋体"/>
          <w:kern w:val="0"/>
          <w:sz w:val="32"/>
          <w:szCs w:val="32"/>
          <w:highlight w:val="none"/>
          <w:u w:val="none"/>
          <w:lang w:val="en-US" w:eastAsia="zh-CN" w:bidi="ar-SA"/>
        </w:rPr>
        <w:t>对新获评中国质量奖、中国质量奖提名奖、安徽省人民政府质量奖、安徽省人民政府质量奖提名奖的组织分别给予50</w:t>
      </w:r>
      <w:r>
        <w:rPr>
          <w:rFonts w:hint="default" w:ascii="仿宋_GB2312" w:hAnsi="宋体" w:eastAsia="仿宋_GB2312" w:cs="宋体"/>
          <w:kern w:val="0"/>
          <w:sz w:val="32"/>
          <w:szCs w:val="32"/>
          <w:highlight w:val="none"/>
          <w:u w:val="none"/>
          <w:lang w:val="en-US" w:eastAsia="zh-CN" w:bidi="ar-SA"/>
        </w:rPr>
        <w:t>万元、</w:t>
      </w:r>
      <w:r>
        <w:rPr>
          <w:rFonts w:hint="eastAsia" w:ascii="仿宋_GB2312" w:hAnsi="宋体" w:eastAsia="仿宋_GB2312" w:cs="宋体"/>
          <w:kern w:val="0"/>
          <w:sz w:val="32"/>
          <w:szCs w:val="32"/>
          <w:highlight w:val="none"/>
          <w:u w:val="none"/>
          <w:lang w:val="en-US" w:eastAsia="zh-CN" w:bidi="ar-SA"/>
        </w:rPr>
        <w:t>3</w:t>
      </w:r>
      <w:r>
        <w:rPr>
          <w:rFonts w:hint="default" w:ascii="仿宋_GB2312" w:hAnsi="宋体" w:eastAsia="仿宋_GB2312" w:cs="宋体"/>
          <w:kern w:val="0"/>
          <w:sz w:val="32"/>
          <w:szCs w:val="32"/>
          <w:highlight w:val="none"/>
          <w:u w:val="none"/>
          <w:lang w:val="en-US" w:eastAsia="zh-CN" w:bidi="ar-SA"/>
        </w:rPr>
        <w:t>0万元、</w:t>
      </w:r>
      <w:r>
        <w:rPr>
          <w:rFonts w:hint="eastAsia" w:ascii="仿宋_GB2312" w:hAnsi="宋体" w:eastAsia="仿宋_GB2312" w:cs="宋体"/>
          <w:kern w:val="0"/>
          <w:sz w:val="32"/>
          <w:szCs w:val="32"/>
          <w:highlight w:val="none"/>
          <w:u w:val="none"/>
          <w:lang w:val="en-US" w:eastAsia="zh-CN" w:bidi="ar-SA"/>
        </w:rPr>
        <w:t>3</w:t>
      </w:r>
      <w:r>
        <w:rPr>
          <w:rFonts w:hint="default" w:ascii="仿宋_GB2312" w:hAnsi="宋体" w:eastAsia="仿宋_GB2312" w:cs="宋体"/>
          <w:kern w:val="0"/>
          <w:sz w:val="32"/>
          <w:szCs w:val="32"/>
          <w:highlight w:val="none"/>
          <w:u w:val="none"/>
          <w:lang w:val="en-US" w:eastAsia="zh-CN" w:bidi="ar-SA"/>
        </w:rPr>
        <w:t>0万元、</w:t>
      </w:r>
      <w:r>
        <w:rPr>
          <w:rFonts w:hint="eastAsia" w:ascii="仿宋_GB2312" w:hAnsi="宋体" w:eastAsia="仿宋_GB2312" w:cs="宋体"/>
          <w:kern w:val="0"/>
          <w:sz w:val="32"/>
          <w:szCs w:val="32"/>
          <w:highlight w:val="none"/>
          <w:u w:val="none"/>
          <w:lang w:val="en-US" w:eastAsia="zh-CN" w:bidi="ar-SA"/>
        </w:rPr>
        <w:t>10</w:t>
      </w:r>
      <w:r>
        <w:rPr>
          <w:rFonts w:hint="default" w:ascii="仿宋_GB2312" w:hAnsi="宋体" w:eastAsia="仿宋_GB2312" w:cs="宋体"/>
          <w:kern w:val="0"/>
          <w:sz w:val="32"/>
          <w:szCs w:val="32"/>
          <w:highlight w:val="none"/>
          <w:u w:val="none"/>
          <w:lang w:val="en-US" w:eastAsia="zh-CN" w:bidi="ar-SA"/>
        </w:rPr>
        <w:t>万元的一次性奖励；对新获评质量强国建设领军企业的给予</w:t>
      </w:r>
      <w:r>
        <w:rPr>
          <w:rFonts w:hint="eastAsia" w:ascii="仿宋_GB2312" w:hAnsi="宋体" w:eastAsia="仿宋_GB2312" w:cs="宋体"/>
          <w:kern w:val="0"/>
          <w:sz w:val="32"/>
          <w:szCs w:val="32"/>
          <w:highlight w:val="none"/>
          <w:u w:val="none"/>
          <w:lang w:val="en-US" w:eastAsia="zh-CN" w:bidi="ar-SA"/>
        </w:rPr>
        <w:t>15</w:t>
      </w:r>
      <w:r>
        <w:rPr>
          <w:rFonts w:hint="default" w:ascii="仿宋_GB2312" w:hAnsi="宋体" w:eastAsia="仿宋_GB2312" w:cs="宋体"/>
          <w:kern w:val="0"/>
          <w:sz w:val="32"/>
          <w:szCs w:val="32"/>
          <w:highlight w:val="none"/>
          <w:u w:val="none"/>
          <w:lang w:val="en-US" w:eastAsia="zh-CN" w:bidi="ar-SA"/>
        </w:rPr>
        <w:t>万元的一次性奖励；对新获评安徽省人民政府质量奖、安徽省人民政府质量奖提名奖的个人分别给予</w:t>
      </w:r>
      <w:r>
        <w:rPr>
          <w:rFonts w:hint="eastAsia" w:ascii="仿宋_GB2312" w:hAnsi="宋体" w:eastAsia="仿宋_GB2312" w:cs="宋体"/>
          <w:kern w:val="0"/>
          <w:sz w:val="32"/>
          <w:szCs w:val="32"/>
          <w:highlight w:val="none"/>
          <w:u w:val="none"/>
          <w:lang w:val="en-US" w:eastAsia="zh-CN" w:bidi="ar-SA"/>
        </w:rPr>
        <w:t>5</w:t>
      </w:r>
      <w:r>
        <w:rPr>
          <w:rFonts w:hint="default" w:ascii="仿宋_GB2312" w:hAnsi="宋体" w:eastAsia="仿宋_GB2312" w:cs="宋体"/>
          <w:kern w:val="0"/>
          <w:sz w:val="32"/>
          <w:szCs w:val="32"/>
          <w:highlight w:val="none"/>
          <w:u w:val="none"/>
          <w:lang w:val="en-US" w:eastAsia="zh-CN" w:bidi="ar-SA"/>
        </w:rPr>
        <w:t>万元、</w:t>
      </w:r>
      <w:r>
        <w:rPr>
          <w:rFonts w:hint="eastAsia" w:ascii="仿宋_GB2312" w:hAnsi="宋体" w:eastAsia="仿宋_GB2312" w:cs="宋体"/>
          <w:kern w:val="0"/>
          <w:sz w:val="32"/>
          <w:szCs w:val="32"/>
          <w:highlight w:val="none"/>
          <w:u w:val="none"/>
          <w:lang w:val="en-US" w:eastAsia="zh-CN" w:bidi="ar-SA"/>
        </w:rPr>
        <w:t>2</w:t>
      </w:r>
      <w:r>
        <w:rPr>
          <w:rFonts w:hint="default" w:ascii="仿宋_GB2312" w:hAnsi="宋体" w:eastAsia="仿宋_GB2312" w:cs="宋体"/>
          <w:kern w:val="0"/>
          <w:sz w:val="32"/>
          <w:szCs w:val="32"/>
          <w:highlight w:val="none"/>
          <w:u w:val="none"/>
          <w:lang w:val="en-US" w:eastAsia="zh-CN" w:bidi="ar-SA"/>
        </w:rPr>
        <w:t>万元的一次性奖励；对新获评芜湖市人民政府质量奖金奖、银奖的组织，分别给予</w:t>
      </w:r>
      <w:r>
        <w:rPr>
          <w:rFonts w:hint="eastAsia" w:ascii="仿宋_GB2312" w:hAnsi="宋体" w:eastAsia="仿宋_GB2312" w:cs="宋体"/>
          <w:kern w:val="0"/>
          <w:sz w:val="32"/>
          <w:szCs w:val="32"/>
          <w:highlight w:val="none"/>
          <w:u w:val="none"/>
          <w:lang w:val="en-US" w:eastAsia="zh-CN" w:bidi="ar-SA"/>
        </w:rPr>
        <w:t>10</w:t>
      </w:r>
      <w:r>
        <w:rPr>
          <w:rFonts w:hint="default" w:ascii="仿宋_GB2312" w:hAnsi="宋体" w:eastAsia="仿宋_GB2312" w:cs="宋体"/>
          <w:kern w:val="0"/>
          <w:sz w:val="32"/>
          <w:szCs w:val="32"/>
          <w:highlight w:val="none"/>
          <w:u w:val="none"/>
          <w:lang w:val="en-US" w:eastAsia="zh-CN" w:bidi="ar-SA"/>
        </w:rPr>
        <w:t>万元、</w:t>
      </w:r>
      <w:r>
        <w:rPr>
          <w:rFonts w:hint="eastAsia" w:ascii="仿宋_GB2312" w:hAnsi="宋体" w:eastAsia="仿宋_GB2312" w:cs="宋体"/>
          <w:kern w:val="0"/>
          <w:sz w:val="32"/>
          <w:szCs w:val="32"/>
          <w:highlight w:val="none"/>
          <w:u w:val="none"/>
          <w:lang w:val="en-US" w:eastAsia="zh-CN" w:bidi="ar-SA"/>
        </w:rPr>
        <w:t>2</w:t>
      </w:r>
      <w:r>
        <w:rPr>
          <w:rFonts w:hint="default" w:ascii="仿宋_GB2312" w:hAnsi="宋体" w:eastAsia="仿宋_GB2312" w:cs="宋体"/>
          <w:kern w:val="0"/>
          <w:sz w:val="32"/>
          <w:szCs w:val="32"/>
          <w:highlight w:val="none"/>
          <w:u w:val="none"/>
          <w:lang w:val="en-US" w:eastAsia="zh-CN" w:bidi="ar-SA"/>
        </w:rPr>
        <w:t>万元的一次性奖励。</w:t>
      </w:r>
      <w:r>
        <w:rPr>
          <w:rFonts w:hint="eastAsia" w:ascii="仿宋_GB2312" w:hAnsi="宋体" w:eastAsia="仿宋_GB2312" w:cs="宋体"/>
          <w:strike w:val="0"/>
          <w:dstrike w:val="0"/>
          <w:kern w:val="0"/>
          <w:sz w:val="32"/>
          <w:szCs w:val="32"/>
          <w:highlight w:val="none"/>
          <w:u w:val="none"/>
          <w:lang w:val="en-US" w:eastAsia="zh-CN" w:bidi="ar-SA"/>
        </w:rPr>
        <w:t>对入选省、市共性质量攻关项目的给予额外10万元、5万元的支持。</w:t>
      </w:r>
    </w:p>
    <w:p w14:paraId="14C444EE">
      <w:pPr>
        <w:keepNext w:val="0"/>
        <w:keepLines w:val="0"/>
        <w:pageBreakBefore w:val="0"/>
        <w:widowControl w:val="0"/>
        <w:kinsoku/>
        <w:wordWrap/>
        <w:overflowPunct/>
        <w:topLinePunct w:val="0"/>
        <w:autoSpaceDE/>
        <w:autoSpaceDN/>
        <w:bidi w:val="0"/>
        <w:adjustRightInd/>
        <w:snapToGrid/>
        <w:spacing w:after="0" w:afterLines="0" w:line="570" w:lineRule="exact"/>
        <w:ind w:left="120" w:firstLine="643" w:firstLineChars="200"/>
        <w:jc w:val="both"/>
        <w:textAlignment w:val="auto"/>
        <w:rPr>
          <w:rFonts w:hint="eastAsia" w:ascii="黑体" w:hAnsi="黑体" w:eastAsia="黑体" w:cs="仿宋_GB2312"/>
          <w:sz w:val="32"/>
          <w:szCs w:val="32"/>
          <w:lang w:val="en-US" w:eastAsia="zh-CN"/>
        </w:rPr>
      </w:pPr>
      <w:r>
        <w:rPr>
          <w:rFonts w:hint="eastAsia" w:ascii="Times New Roman" w:hAnsi="Times New Roman" w:eastAsia="仿宋_GB2312" w:cs="Times New Roman"/>
          <w:b/>
          <w:bCs/>
          <w:color w:val="auto"/>
          <w:kern w:val="2"/>
          <w:sz w:val="32"/>
          <w:szCs w:val="32"/>
          <w:highlight w:val="none"/>
          <w:u w:val="none"/>
          <w:lang w:val="en-US" w:eastAsia="zh-CN" w:bidi="ar-SA"/>
        </w:rPr>
        <w:t>11.</w:t>
      </w:r>
      <w:r>
        <w:rPr>
          <w:rFonts w:hint="default" w:ascii="Times New Roman" w:hAnsi="Times New Roman" w:eastAsia="仿宋_GB2312" w:cs="Times New Roman"/>
          <w:b/>
          <w:bCs/>
          <w:color w:val="auto"/>
          <w:kern w:val="2"/>
          <w:sz w:val="32"/>
          <w:szCs w:val="32"/>
          <w:highlight w:val="none"/>
          <w:u w:val="none"/>
          <w:lang w:val="en-US" w:eastAsia="zh-CN" w:bidi="ar-SA"/>
        </w:rPr>
        <w:t>推动标准化创新发展。</w:t>
      </w:r>
      <w:r>
        <w:rPr>
          <w:rFonts w:hint="eastAsia" w:ascii="Times New Roman" w:hAnsi="Times New Roman" w:eastAsia="仿宋_GB2312" w:cs="Times New Roman"/>
          <w:b w:val="0"/>
          <w:bCs w:val="0"/>
          <w:color w:val="auto"/>
          <w:kern w:val="2"/>
          <w:sz w:val="32"/>
          <w:szCs w:val="32"/>
          <w:highlight w:val="none"/>
          <w:u w:val="none"/>
          <w:lang w:val="en-US" w:eastAsia="zh-CN" w:bidi="ar-SA"/>
        </w:rPr>
        <w:t>在上级政策基础上，对主导完成研制国际、国家、行业标准的单位分别给予20万、10万元和5万元奖励，单个单位</w:t>
      </w:r>
      <w:r>
        <w:rPr>
          <w:rFonts w:hint="eastAsia" w:ascii="仿宋_GB2312" w:hAnsi="仿宋_GB2312" w:eastAsia="仿宋_GB2312" w:cs="仿宋_GB2312"/>
          <w:kern w:val="0"/>
          <w:sz w:val="32"/>
          <w:szCs w:val="32"/>
          <w:highlight w:val="none"/>
          <w:u w:val="none"/>
          <w:lang w:val="en-US" w:eastAsia="zh-CN" w:bidi="ar-SA"/>
        </w:rPr>
        <w:t>当年奖励不超过30万元。对参与（排名前三）</w:t>
      </w:r>
      <w:r>
        <w:rPr>
          <w:rFonts w:hint="eastAsia" w:ascii="Times New Roman" w:hAnsi="Times New Roman" w:eastAsia="仿宋_GB2312" w:cs="Times New Roman"/>
          <w:b w:val="0"/>
          <w:bCs w:val="0"/>
          <w:color w:val="auto"/>
          <w:kern w:val="2"/>
          <w:sz w:val="32"/>
          <w:szCs w:val="32"/>
          <w:highlight w:val="none"/>
          <w:u w:val="none"/>
          <w:lang w:val="en-US" w:eastAsia="zh-CN" w:bidi="ar-SA"/>
        </w:rPr>
        <w:t>研制国家、行业标准的单位分别给予5万元和3万元奖励，单个单位当年奖励不超过10万元。</w:t>
      </w:r>
      <w:r>
        <w:rPr>
          <w:rFonts w:hint="eastAsia" w:ascii="仿宋_GB2312" w:hAnsi="仿宋_GB2312" w:eastAsia="仿宋_GB2312" w:cs="仿宋_GB2312"/>
          <w:kern w:val="0"/>
          <w:sz w:val="32"/>
          <w:szCs w:val="32"/>
          <w:highlight w:val="none"/>
          <w:u w:val="none"/>
          <w:lang w:val="en-US" w:eastAsia="zh-CN" w:bidi="ar-SA"/>
        </w:rPr>
        <w:t>对新建成的国家级、省级标准化示范试点项目的主要承担单位分别奖励10万元、5万元。对新获评国家级、省级企业标准领跑者的单位分别奖励10万元、5万元。</w:t>
      </w:r>
    </w:p>
    <w:p w14:paraId="3B9EA18E">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cs="仿宋_GB2312"/>
          <w:sz w:val="32"/>
          <w:szCs w:val="32"/>
        </w:rPr>
      </w:pPr>
      <w:r>
        <w:rPr>
          <w:rFonts w:hint="eastAsia" w:ascii="黑体" w:hAnsi="黑体" w:eastAsia="黑体" w:cs="仿宋_GB2312"/>
          <w:sz w:val="32"/>
          <w:szCs w:val="32"/>
          <w:lang w:val="en-US" w:eastAsia="zh-CN"/>
        </w:rPr>
        <w:t>二</w:t>
      </w:r>
      <w:r>
        <w:rPr>
          <w:rFonts w:hint="eastAsia" w:ascii="黑体" w:hAnsi="黑体" w:eastAsia="黑体" w:cs="仿宋_GB2312"/>
          <w:sz w:val="32"/>
          <w:szCs w:val="32"/>
        </w:rPr>
        <w:t>、其他事项</w:t>
      </w:r>
    </w:p>
    <w:p w14:paraId="1CC726D7">
      <w:pPr>
        <w:keepNext w:val="0"/>
        <w:keepLines w:val="0"/>
        <w:pageBreakBefore w:val="0"/>
        <w:widowControl w:val="0"/>
        <w:suppressLineNumbers w:val="0"/>
        <w:kinsoku/>
        <w:wordWrap/>
        <w:overflowPunct/>
        <w:topLinePunct w:val="0"/>
        <w:autoSpaceDE/>
        <w:autoSpaceDN/>
        <w:bidi w:val="0"/>
        <w:adjustRightInd/>
        <w:snapToGrid/>
        <w:spacing w:line="57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bidi="ar"/>
        </w:rPr>
      </w:pPr>
      <w:r>
        <w:rPr>
          <w:rFonts w:ascii="仿宋_GB2312" w:hAnsi="宋体" w:eastAsia="仿宋_GB2312" w:cs="宋体"/>
          <w:sz w:val="32"/>
          <w:szCs w:val="32"/>
        </w:rPr>
        <w:t>（一）本扶持政策适用对象为在我区</w:t>
      </w:r>
      <w:r>
        <w:rPr>
          <w:rFonts w:hint="eastAsia" w:ascii="仿宋_GB2312" w:hAnsi="宋体" w:eastAsia="仿宋_GB2312" w:cs="宋体"/>
          <w:sz w:val="32"/>
          <w:szCs w:val="32"/>
        </w:rPr>
        <w:t>从事本规定项下相关经营活动的企</w:t>
      </w:r>
      <w:r>
        <w:rPr>
          <w:rFonts w:ascii="仿宋_GB2312" w:hAnsi="宋体" w:eastAsia="仿宋_GB2312" w:cs="宋体"/>
          <w:sz w:val="32"/>
          <w:szCs w:val="32"/>
        </w:rPr>
        <w:t>业</w:t>
      </w:r>
      <w:r>
        <w:rPr>
          <w:rFonts w:hint="eastAsia" w:ascii="仿宋_GB2312" w:hAnsi="宋体" w:eastAsia="仿宋_GB2312" w:cs="宋体"/>
          <w:sz w:val="32"/>
          <w:szCs w:val="32"/>
        </w:rPr>
        <w:t>、个人、</w:t>
      </w:r>
      <w:r>
        <w:rPr>
          <w:rFonts w:ascii="仿宋_GB2312" w:hAnsi="宋体" w:eastAsia="仿宋_GB2312" w:cs="宋体"/>
          <w:sz w:val="32"/>
          <w:szCs w:val="32"/>
        </w:rPr>
        <w:t>高校和科研</w:t>
      </w:r>
      <w:r>
        <w:rPr>
          <w:rFonts w:hint="eastAsia" w:ascii="仿宋_GB2312" w:hAnsi="宋体" w:eastAsia="仿宋_GB2312" w:cs="宋体"/>
          <w:sz w:val="32"/>
          <w:szCs w:val="32"/>
        </w:rPr>
        <w:t>院所</w:t>
      </w:r>
      <w:r>
        <w:rPr>
          <w:rFonts w:ascii="仿宋_GB2312" w:hAnsi="宋体" w:eastAsia="仿宋_GB2312" w:cs="宋体"/>
          <w:sz w:val="32"/>
          <w:szCs w:val="32"/>
        </w:rPr>
        <w:t>。</w:t>
      </w:r>
      <w:r>
        <w:rPr>
          <w:rFonts w:hint="eastAsia" w:ascii="仿宋_GB2312" w:hAnsi="宋体" w:eastAsia="仿宋_GB2312" w:cs="宋体"/>
          <w:sz w:val="32"/>
          <w:szCs w:val="32"/>
        </w:rPr>
        <w:t>各项政策</w:t>
      </w:r>
      <w:r>
        <w:rPr>
          <w:rFonts w:hint="eastAsia" w:ascii="仿宋_GB2312" w:hAnsi="宋体" w:eastAsia="仿宋_GB2312" w:cs="宋体"/>
          <w:sz w:val="32"/>
          <w:szCs w:val="32"/>
          <w:lang w:val="en-US" w:eastAsia="zh-CN"/>
        </w:rPr>
        <w:t>除特殊说明的之外，</w:t>
      </w:r>
      <w:r>
        <w:rPr>
          <w:rFonts w:hint="eastAsia" w:ascii="仿宋_GB2312" w:hAnsi="宋体" w:eastAsia="仿宋_GB2312" w:cs="宋体"/>
          <w:sz w:val="32"/>
          <w:szCs w:val="32"/>
        </w:rPr>
        <w:t>与</w:t>
      </w:r>
      <w:r>
        <w:rPr>
          <w:rFonts w:hint="eastAsia" w:ascii="仿宋_GB2312" w:hAnsi="宋体" w:eastAsia="仿宋_GB2312" w:cs="宋体"/>
          <w:sz w:val="32"/>
          <w:szCs w:val="32"/>
          <w:lang w:eastAsia="zh-CN"/>
        </w:rPr>
        <w:t>上级</w:t>
      </w:r>
      <w:r>
        <w:rPr>
          <w:rFonts w:hint="eastAsia" w:ascii="仿宋_GB2312" w:hAnsi="宋体" w:eastAsia="仿宋_GB2312" w:cs="宋体"/>
          <w:sz w:val="32"/>
          <w:szCs w:val="32"/>
        </w:rPr>
        <w:t>政策内容相同的，按就高不就低原则执行，不重复享受</w:t>
      </w:r>
      <w:r>
        <w:rPr>
          <w:rFonts w:hint="eastAsia" w:ascii="仿宋_GB2312" w:hAnsi="宋体" w:eastAsia="仿宋_GB2312" w:cs="宋体"/>
          <w:sz w:val="32"/>
          <w:szCs w:val="32"/>
          <w:lang w:val="en-US" w:eastAsia="zh-CN"/>
        </w:rPr>
        <w:t>且应尽量争取上级资金</w:t>
      </w:r>
      <w:r>
        <w:rPr>
          <w:rFonts w:hint="eastAsia" w:ascii="仿宋_GB2312" w:hAnsi="宋体" w:eastAsia="仿宋_GB2312" w:cs="宋体"/>
          <w:sz w:val="32"/>
          <w:szCs w:val="32"/>
        </w:rPr>
        <w:t>。同一企业的同一项目补助只能享受其中一项奖补政策，不得重复申报。除有明确规定外，原则上享受“一事一议”政策的企业和其它经营主体、项目，不享受本</w:t>
      </w:r>
      <w:r>
        <w:rPr>
          <w:rFonts w:hint="eastAsia" w:ascii="仿宋_GB2312" w:hAnsi="宋体" w:eastAsia="仿宋_GB2312" w:cs="宋体"/>
          <w:sz w:val="32"/>
          <w:szCs w:val="32"/>
          <w:lang w:val="en-US" w:eastAsia="zh-CN"/>
        </w:rPr>
        <w:t>政策</w:t>
      </w:r>
      <w:r>
        <w:rPr>
          <w:rFonts w:hint="eastAsia" w:ascii="仿宋_GB2312" w:hAnsi="宋体" w:eastAsia="仿宋_GB2312" w:cs="宋体"/>
          <w:sz w:val="32"/>
          <w:szCs w:val="32"/>
        </w:rPr>
        <w:t>内的同类型补助政策</w:t>
      </w:r>
      <w:r>
        <w:rPr>
          <w:rFonts w:hint="eastAsia" w:ascii="仿宋_GB2312" w:hAnsi="宋体" w:eastAsia="仿宋_GB2312" w:cs="宋体"/>
          <w:sz w:val="32"/>
          <w:szCs w:val="32"/>
          <w:lang w:eastAsia="zh-CN"/>
        </w:rPr>
        <w:t>。</w:t>
      </w:r>
      <w:r>
        <w:rPr>
          <w:rFonts w:hint="eastAsia" w:ascii="仿宋_GB2312" w:hAnsi="仿宋_GB2312" w:eastAsia="仿宋_GB2312" w:cs="仿宋_GB2312"/>
          <w:color w:val="auto"/>
          <w:kern w:val="0"/>
          <w:sz w:val="32"/>
          <w:szCs w:val="32"/>
          <w:highlight w:val="none"/>
          <w:lang w:val="en-US" w:eastAsia="zh-CN" w:bidi="ar"/>
        </w:rPr>
        <w:t>本措施实施过程中，因国家法律法规和上级相关规定调整而产生冲突的，遵从国家法律法规和上级相关规定。</w:t>
      </w:r>
    </w:p>
    <w:p w14:paraId="0B17185C">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ascii="仿宋_GB2312" w:hAnsi="宋体" w:eastAsia="仿宋_GB2312" w:cs="宋体"/>
          <w:sz w:val="32"/>
          <w:szCs w:val="32"/>
        </w:rPr>
      </w:pPr>
      <w:r>
        <w:rPr>
          <w:rFonts w:ascii="仿宋_GB2312" w:hAnsi="宋体" w:eastAsia="仿宋_GB2312" w:cs="宋体"/>
          <w:sz w:val="32"/>
          <w:szCs w:val="32"/>
        </w:rPr>
        <w:t>（二）</w:t>
      </w:r>
      <w:r>
        <w:rPr>
          <w:rFonts w:hint="default" w:ascii="Times New Roman" w:hAnsi="Times New Roman" w:eastAsia="仿宋_GB2312" w:cs="Times New Roman"/>
          <w:color w:val="auto"/>
          <w:sz w:val="32"/>
          <w:szCs w:val="32"/>
          <w:lang w:val="en-US" w:eastAsia="zh-CN"/>
        </w:rPr>
        <w:t>有严重失信行为的</w:t>
      </w:r>
      <w:r>
        <w:rPr>
          <w:rFonts w:hint="eastAsia" w:ascii="Times New Roman" w:hAnsi="Times New Roman" w:eastAsia="仿宋_GB2312" w:cs="Times New Roman"/>
          <w:color w:val="auto"/>
          <w:sz w:val="32"/>
          <w:szCs w:val="32"/>
          <w:lang w:val="en-US" w:eastAsia="zh-CN"/>
        </w:rPr>
        <w:t>、</w:t>
      </w:r>
      <w:r>
        <w:rPr>
          <w:rFonts w:hint="eastAsia" w:ascii="仿宋_GB2312" w:hAnsi="宋体" w:eastAsia="仿宋_GB2312" w:cs="宋体"/>
          <w:sz w:val="32"/>
          <w:szCs w:val="32"/>
        </w:rPr>
        <w:t>涉嫌</w:t>
      </w:r>
      <w:r>
        <w:rPr>
          <w:rFonts w:ascii="仿宋_GB2312" w:hAnsi="宋体" w:eastAsia="仿宋_GB2312" w:cs="宋体"/>
          <w:sz w:val="32"/>
          <w:szCs w:val="32"/>
        </w:rPr>
        <w:t>非正常</w:t>
      </w:r>
      <w:r>
        <w:rPr>
          <w:rFonts w:hint="eastAsia" w:ascii="仿宋_GB2312" w:hAnsi="宋体" w:eastAsia="仿宋_GB2312" w:cs="宋体"/>
          <w:sz w:val="32"/>
          <w:szCs w:val="32"/>
          <w:lang w:val="en-US" w:eastAsia="zh-CN"/>
        </w:rPr>
        <w:t>专利</w:t>
      </w:r>
      <w:r>
        <w:rPr>
          <w:rFonts w:ascii="仿宋_GB2312" w:hAnsi="宋体" w:eastAsia="仿宋_GB2312" w:cs="宋体"/>
          <w:sz w:val="32"/>
          <w:szCs w:val="32"/>
        </w:rPr>
        <w:t>申请</w:t>
      </w:r>
      <w:r>
        <w:rPr>
          <w:rFonts w:hint="eastAsia" w:ascii="仿宋_GB2312" w:hAnsi="宋体" w:eastAsia="仿宋_GB2312" w:cs="宋体"/>
          <w:sz w:val="32"/>
          <w:szCs w:val="32"/>
        </w:rPr>
        <w:t>未及时处理撤回的单位和个人</w:t>
      </w:r>
      <w:r>
        <w:rPr>
          <w:rFonts w:hint="eastAsia" w:ascii="仿宋_GB2312" w:hAnsi="宋体" w:eastAsia="仿宋_GB2312" w:cs="宋体"/>
          <w:sz w:val="32"/>
          <w:szCs w:val="32"/>
          <w:lang w:val="en-US" w:eastAsia="zh-CN"/>
        </w:rPr>
        <w:t>、</w:t>
      </w:r>
      <w:r>
        <w:rPr>
          <w:rFonts w:hint="default" w:ascii="Times New Roman" w:hAnsi="Times New Roman" w:eastAsia="仿宋_GB2312" w:cs="Times New Roman"/>
          <w:color w:val="auto"/>
          <w:sz w:val="32"/>
          <w:szCs w:val="32"/>
          <w:lang w:val="en-US" w:eastAsia="zh-CN"/>
        </w:rPr>
        <w:t>有违反知识产权法律法规及政策行为的。</w:t>
      </w:r>
      <w:r>
        <w:rPr>
          <w:rFonts w:hint="eastAsia" w:ascii="仿宋_GB2312" w:hAnsi="宋体" w:eastAsia="仿宋_GB2312" w:cs="宋体"/>
          <w:sz w:val="32"/>
          <w:szCs w:val="32"/>
          <w:lang w:val="en-US" w:eastAsia="zh-CN"/>
        </w:rPr>
        <w:t>相关单位和个人</w:t>
      </w:r>
      <w:r>
        <w:rPr>
          <w:rFonts w:hint="eastAsia" w:ascii="仿宋_GB2312" w:hAnsi="宋体" w:eastAsia="仿宋_GB2312" w:cs="宋体"/>
          <w:sz w:val="32"/>
          <w:szCs w:val="32"/>
        </w:rPr>
        <w:t>取消当年获得补助的资格</w:t>
      </w:r>
      <w:r>
        <w:rPr>
          <w:rFonts w:hint="eastAsia" w:ascii="仿宋_GB2312" w:hAnsi="宋体" w:eastAsia="仿宋_GB2312" w:cs="宋体"/>
          <w:sz w:val="32"/>
          <w:szCs w:val="32"/>
          <w:lang w:eastAsia="zh-CN"/>
        </w:rPr>
        <w:t>，已补助奖励的金额如数追回。</w:t>
      </w:r>
    </w:p>
    <w:p w14:paraId="7598F2D9">
      <w:pPr>
        <w:keepNext w:val="0"/>
        <w:keepLines w:val="0"/>
        <w:pageBreakBefore w:val="0"/>
        <w:widowControl w:val="0"/>
        <w:suppressLineNumbers w:val="0"/>
        <w:kinsoku/>
        <w:wordWrap/>
        <w:overflowPunct/>
        <w:topLinePunct w:val="0"/>
        <w:autoSpaceDE/>
        <w:autoSpaceDN/>
        <w:bidi w:val="0"/>
        <w:adjustRightInd/>
        <w:snapToGrid/>
        <w:spacing w:line="570" w:lineRule="exact"/>
        <w:ind w:firstLine="640" w:firstLineChars="200"/>
        <w:jc w:val="left"/>
        <w:textAlignment w:val="auto"/>
        <w:rPr>
          <w:rFonts w:hint="default" w:ascii="Times New Roman" w:hAnsi="Times New Roman" w:eastAsia="仿宋_GB2312" w:cs="Times New Roman"/>
          <w:color w:val="auto"/>
          <w:sz w:val="32"/>
          <w:szCs w:val="32"/>
          <w:lang w:val="en-US" w:eastAsia="zh-CN"/>
        </w:rPr>
      </w:pPr>
      <w:r>
        <w:rPr>
          <w:rFonts w:hint="eastAsia" w:ascii="仿宋_GB2312" w:hAnsi="宋体" w:eastAsia="仿宋_GB2312" w:cs="宋体"/>
          <w:sz w:val="32"/>
          <w:szCs w:val="32"/>
        </w:rPr>
        <w:t>（三）</w:t>
      </w:r>
      <w:r>
        <w:rPr>
          <w:rFonts w:hint="eastAsia" w:ascii="仿宋_GB2312" w:hAnsi="宋体" w:eastAsia="仿宋_GB2312" w:cs="宋体"/>
          <w:sz w:val="32"/>
          <w:szCs w:val="32"/>
          <w:lang w:val="en-US" w:eastAsia="zh-CN"/>
        </w:rPr>
        <w:t>政策兑现申请</w:t>
      </w:r>
      <w:r>
        <w:rPr>
          <w:rFonts w:hint="default" w:ascii="Times New Roman" w:hAnsi="Times New Roman" w:eastAsia="仿宋_GB2312" w:cs="Times New Roman"/>
          <w:color w:val="auto"/>
          <w:sz w:val="32"/>
          <w:szCs w:val="32"/>
          <w:lang w:val="en-US" w:eastAsia="zh-CN"/>
        </w:rPr>
        <w:t>每年度受理一次，由</w:t>
      </w:r>
      <w:r>
        <w:rPr>
          <w:rFonts w:hint="eastAsia" w:ascii="Times New Roman" w:hAnsi="Times New Roman" w:eastAsia="仿宋_GB2312" w:cs="Times New Roman"/>
          <w:color w:val="auto"/>
          <w:sz w:val="32"/>
          <w:szCs w:val="32"/>
          <w:lang w:val="en-US" w:eastAsia="zh-CN"/>
        </w:rPr>
        <w:t>鸠江</w:t>
      </w:r>
      <w:r>
        <w:rPr>
          <w:rFonts w:hint="default" w:ascii="Times New Roman" w:hAnsi="Times New Roman" w:eastAsia="仿宋_GB2312" w:cs="Times New Roman"/>
          <w:color w:val="auto"/>
          <w:sz w:val="32"/>
          <w:szCs w:val="32"/>
          <w:lang w:val="en-US" w:eastAsia="zh-CN"/>
        </w:rPr>
        <w:t>区市场监督管理局（知识产权局）发布相关兑现通知，企事业单位及个人于规定期限内</w:t>
      </w:r>
      <w:r>
        <w:rPr>
          <w:rFonts w:hint="eastAsia" w:ascii="Times New Roman" w:hAnsi="Times New Roman" w:eastAsia="仿宋_GB2312" w:cs="Times New Roman"/>
          <w:color w:val="auto"/>
          <w:sz w:val="32"/>
          <w:szCs w:val="32"/>
          <w:lang w:val="en-US" w:eastAsia="zh-CN"/>
        </w:rPr>
        <w:t>在惠企超市进行</w:t>
      </w:r>
      <w:r>
        <w:rPr>
          <w:rFonts w:hint="default" w:ascii="Times New Roman" w:hAnsi="Times New Roman" w:eastAsia="仿宋_GB2312" w:cs="Times New Roman"/>
          <w:color w:val="auto"/>
          <w:sz w:val="32"/>
          <w:szCs w:val="32"/>
          <w:lang w:val="en-US" w:eastAsia="zh-CN"/>
        </w:rPr>
        <w:t>申报，逾期视为自动放弃不予受理。有国家、</w:t>
      </w:r>
      <w:r>
        <w:rPr>
          <w:rFonts w:hint="eastAsia" w:ascii="Times New Roman" w:hAnsi="Times New Roman" w:eastAsia="仿宋_GB2312" w:cs="Times New Roman"/>
          <w:color w:val="auto"/>
          <w:sz w:val="32"/>
          <w:szCs w:val="32"/>
          <w:lang w:val="en-US" w:eastAsia="zh-CN"/>
        </w:rPr>
        <w:t>上级</w:t>
      </w:r>
      <w:r>
        <w:rPr>
          <w:rFonts w:hint="default" w:ascii="Times New Roman" w:hAnsi="Times New Roman" w:eastAsia="仿宋_GB2312" w:cs="Times New Roman"/>
          <w:color w:val="auto"/>
          <w:sz w:val="32"/>
          <w:szCs w:val="32"/>
          <w:lang w:val="en-US" w:eastAsia="zh-CN"/>
        </w:rPr>
        <w:t>批文或具体通知的，以上级批文或通知为项目申报依据，其它按</w:t>
      </w:r>
      <w:r>
        <w:rPr>
          <w:rFonts w:hint="eastAsia" w:ascii="Times New Roman" w:hAnsi="Times New Roman" w:eastAsia="仿宋_GB2312" w:cs="Times New Roman"/>
          <w:color w:val="auto"/>
          <w:sz w:val="32"/>
          <w:szCs w:val="32"/>
          <w:lang w:val="en-US" w:eastAsia="zh-CN"/>
        </w:rPr>
        <w:t>鸠江</w:t>
      </w:r>
      <w:r>
        <w:rPr>
          <w:rFonts w:hint="default" w:ascii="Times New Roman" w:hAnsi="Times New Roman" w:eastAsia="仿宋_GB2312" w:cs="Times New Roman"/>
          <w:color w:val="auto"/>
          <w:sz w:val="32"/>
          <w:szCs w:val="32"/>
          <w:lang w:val="en-US" w:eastAsia="zh-CN"/>
        </w:rPr>
        <w:t>区市场监督管理局（知识产权局）的具体通知要求提供相应申报材料。</w:t>
      </w:r>
    </w:p>
    <w:p w14:paraId="24B92639">
      <w:pPr>
        <w:keepNext w:val="0"/>
        <w:keepLines w:val="0"/>
        <w:pageBreakBefore w:val="0"/>
        <w:widowControl w:val="0"/>
        <w:suppressLineNumbers w:val="0"/>
        <w:kinsoku/>
        <w:wordWrap/>
        <w:overflowPunct/>
        <w:topLinePunct w:val="0"/>
        <w:autoSpaceDE/>
        <w:autoSpaceDN/>
        <w:bidi w:val="0"/>
        <w:adjustRightInd/>
        <w:snapToGrid/>
        <w:spacing w:line="570" w:lineRule="exact"/>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bidi="ar"/>
        </w:rPr>
      </w:pPr>
      <w:r>
        <w:rPr>
          <w:rFonts w:hint="eastAsia" w:ascii="Times New Roman" w:hAnsi="Times New Roman" w:eastAsia="仿宋_GB2312" w:cs="Times New Roman"/>
          <w:color w:val="auto"/>
          <w:sz w:val="32"/>
          <w:szCs w:val="32"/>
          <w:lang w:val="en-US" w:eastAsia="zh-CN"/>
        </w:rPr>
        <w:t>（四）具体拨付流程按照</w:t>
      </w:r>
      <w:r>
        <w:rPr>
          <w:rFonts w:hint="default" w:ascii="Times New Roman" w:hAnsi="Times New Roman" w:eastAsia="仿宋_GB2312" w:cs="Times New Roman"/>
          <w:color w:val="auto"/>
          <w:sz w:val="32"/>
          <w:szCs w:val="32"/>
          <w:lang w:val="en-US" w:eastAsia="zh-CN"/>
        </w:rPr>
        <w:t>鸠江区财政奖励资金审核拨付流程</w:t>
      </w:r>
      <w:r>
        <w:rPr>
          <w:rFonts w:hint="eastAsia" w:ascii="Times New Roman" w:hAnsi="Times New Roman" w:eastAsia="仿宋_GB2312" w:cs="Times New Roman"/>
          <w:color w:val="auto"/>
          <w:sz w:val="32"/>
          <w:szCs w:val="32"/>
          <w:lang w:val="en-US" w:eastAsia="zh-CN"/>
        </w:rPr>
        <w:t>相关规定执行。</w:t>
      </w:r>
    </w:p>
    <w:p w14:paraId="0B0FA7AD">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（五）</w:t>
      </w:r>
      <w:r>
        <w:rPr>
          <w:rFonts w:hint="default" w:ascii="Times New Roman" w:hAnsi="Times New Roman" w:eastAsia="仿宋_GB2312" w:cs="Times New Roman"/>
          <w:color w:val="auto"/>
          <w:sz w:val="32"/>
          <w:szCs w:val="32"/>
          <w:lang w:val="en-US" w:eastAsia="zh-CN"/>
        </w:rPr>
        <w:t>申请奖补的单位及个人应提供真实的材料和凭证，如有弄虚作假，一经核实，依法追回全额资助资金且3年内不得享受任何资助政策。</w:t>
      </w:r>
    </w:p>
    <w:p w14:paraId="7A583962">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ascii="仿宋_GB2312" w:hAnsi="宋体" w:eastAsia="仿宋_GB2312" w:cs="宋体"/>
          <w:sz w:val="32"/>
          <w:szCs w:val="32"/>
        </w:rPr>
      </w:pPr>
      <w:r>
        <w:rPr>
          <w:rFonts w:ascii="仿宋_GB2312" w:hAnsi="宋体" w:eastAsia="仿宋_GB2312" w:cs="宋体"/>
          <w:sz w:val="32"/>
          <w:szCs w:val="32"/>
        </w:rPr>
        <w:t>（</w:t>
      </w:r>
      <w:r>
        <w:rPr>
          <w:rFonts w:hint="eastAsia" w:ascii="仿宋_GB2312" w:hAnsi="宋体" w:eastAsia="仿宋_GB2312" w:cs="宋体"/>
          <w:sz w:val="32"/>
          <w:szCs w:val="32"/>
          <w:lang w:val="en-US" w:eastAsia="zh-CN"/>
        </w:rPr>
        <w:t>六</w:t>
      </w:r>
      <w:r>
        <w:rPr>
          <w:rFonts w:ascii="仿宋_GB2312" w:hAnsi="宋体" w:eastAsia="仿宋_GB2312" w:cs="宋体"/>
          <w:sz w:val="32"/>
          <w:szCs w:val="32"/>
        </w:rPr>
        <w:t>）</w:t>
      </w:r>
      <w:r>
        <w:rPr>
          <w:rFonts w:hint="eastAsia" w:ascii="仿宋_GB2312" w:hAnsi="宋体" w:eastAsia="仿宋_GB2312" w:cs="宋体"/>
          <w:sz w:val="32"/>
          <w:szCs w:val="32"/>
        </w:rPr>
        <w:t>本政策实施中的具体问题由区市监局(知识产权局)会同区财政局共同解释。本政策自发布之日起30日后施行，有效期至2026年12月31日。自2025年1月1日起符合有关条件的即可享受支持。</w:t>
      </w:r>
    </w:p>
    <w:p w14:paraId="3E41AC90">
      <w:pPr>
        <w:keepNext w:val="0"/>
        <w:keepLines w:val="0"/>
        <w:pageBreakBefore w:val="0"/>
        <w:widowControl w:val="0"/>
        <w:kinsoku/>
        <w:wordWrap/>
        <w:overflowPunct/>
        <w:topLinePunct w:val="0"/>
        <w:autoSpaceDE/>
        <w:autoSpaceDN/>
        <w:bidi w:val="0"/>
        <w:adjustRightInd/>
        <w:snapToGrid/>
        <w:spacing w:after="0" w:afterLines="0" w:line="570" w:lineRule="exact"/>
        <w:ind w:left="120"/>
        <w:jc w:val="both"/>
        <w:textAlignment w:val="auto"/>
        <w:rPr>
          <w:rFonts w:hint="default" w:ascii="Times New Roman" w:hAnsi="Times New Roman" w:eastAsia="宋体" w:cs="Times New Roman"/>
          <w:kern w:val="0"/>
          <w:sz w:val="24"/>
          <w:szCs w:val="24"/>
          <w:lang w:val="en-US" w:eastAsia="zh-CN" w:bidi="ar-SA"/>
        </w:rPr>
      </w:pPr>
    </w:p>
    <w:p w14:paraId="4411E9F6">
      <w:pPr>
        <w:widowControl w:val="0"/>
        <w:ind w:left="120" w:firstLine="640" w:firstLineChars="200"/>
        <w:jc w:val="both"/>
        <w:rPr>
          <w:rFonts w:hint="default" w:ascii="仿宋_GB2312" w:hAnsi="宋体" w:eastAsia="仿宋_GB2312" w:cs="宋体"/>
          <w:kern w:val="0"/>
          <w:sz w:val="32"/>
          <w:szCs w:val="32"/>
          <w:lang w:val="en-US" w:eastAsia="zh-CN" w:bidi="ar-SA"/>
        </w:rPr>
      </w:pPr>
    </w:p>
    <w:p w14:paraId="03C5A749">
      <w:pPr>
        <w:spacing w:line="620" w:lineRule="exact"/>
        <w:ind w:firstLine="640" w:firstLineChars="200"/>
        <w:rPr>
          <w:rFonts w:hint="default" w:ascii="仿宋_GB2312" w:hAnsi="仿宋_GB2312" w:eastAsia="仿宋_GB2312" w:cs="仿宋_GB2312"/>
          <w:sz w:val="32"/>
          <w:szCs w:val="32"/>
          <w:lang w:val="en-US" w:eastAsia="zh-CN"/>
        </w:rPr>
      </w:pPr>
    </w:p>
    <w:p w14:paraId="035993E2">
      <w:pPr>
        <w:keepNext w:val="0"/>
        <w:keepLines w:val="0"/>
        <w:pageBreakBefore w:val="0"/>
        <w:widowControl w:val="0"/>
        <w:suppressAutoHyphens/>
        <w:kinsoku/>
        <w:wordWrap/>
        <w:overflowPunct/>
        <w:topLinePunct w:val="0"/>
        <w:autoSpaceDE/>
        <w:autoSpaceDN/>
        <w:bidi w:val="0"/>
        <w:adjustRightInd/>
        <w:snapToGrid/>
        <w:spacing w:line="540" w:lineRule="exact"/>
        <w:ind w:firstLine="4800" w:firstLineChars="1500"/>
        <w:textAlignment w:val="auto"/>
        <w:rPr>
          <w:rFonts w:hint="eastAsia" w:ascii="仿宋_GB2312" w:hAnsi="仿宋_GB2312" w:eastAsia="仿宋_GB2312" w:cs="仿宋_GB2312"/>
          <w:color w:val="auto"/>
          <w:sz w:val="32"/>
          <w:szCs w:val="32"/>
        </w:rPr>
      </w:pPr>
    </w:p>
    <w:p w14:paraId="33E7F817">
      <w:pPr>
        <w:keepNext w:val="0"/>
        <w:keepLines w:val="0"/>
        <w:pageBreakBefore w:val="0"/>
        <w:suppressAutoHyphens/>
        <w:kinsoku/>
        <w:wordWrap/>
        <w:overflowPunct/>
        <w:topLinePunct w:val="0"/>
        <w:autoSpaceDE/>
        <w:autoSpaceDN/>
        <w:bidi w:val="0"/>
        <w:adjustRightInd/>
        <w:snapToGrid/>
        <w:spacing w:line="540" w:lineRule="exact"/>
        <w:ind w:firstLine="4800" w:firstLineChars="1500"/>
        <w:textAlignment w:val="auto"/>
        <w:rPr>
          <w:rFonts w:hint="eastAsia" w:ascii="仿宋_GB2312" w:hAnsi="仿宋_GB2312" w:eastAsia="仿宋_GB2312" w:cs="仿宋_GB2312"/>
          <w:color w:val="auto"/>
          <w:sz w:val="32"/>
          <w:szCs w:val="32"/>
        </w:rPr>
      </w:pPr>
    </w:p>
    <w:p w14:paraId="04A48485">
      <w:pPr>
        <w:keepNext w:val="0"/>
        <w:keepLines w:val="0"/>
        <w:pageBreakBefore w:val="0"/>
        <w:suppressAutoHyphens/>
        <w:kinsoku/>
        <w:wordWrap/>
        <w:overflowPunct/>
        <w:topLinePunct w:val="0"/>
        <w:autoSpaceDE/>
        <w:autoSpaceDN/>
        <w:bidi w:val="0"/>
        <w:adjustRightInd/>
        <w:snapToGrid/>
        <w:spacing w:line="540" w:lineRule="exact"/>
        <w:ind w:firstLine="4800" w:firstLineChars="1500"/>
        <w:textAlignment w:val="auto"/>
        <w:rPr>
          <w:rFonts w:hint="eastAsia" w:ascii="仿宋_GB2312" w:hAnsi="仿宋_GB2312" w:eastAsia="仿宋_GB2312" w:cs="仿宋_GB2312"/>
          <w:color w:val="auto"/>
          <w:sz w:val="32"/>
          <w:szCs w:val="32"/>
        </w:rPr>
      </w:pPr>
    </w:p>
    <w:p w14:paraId="6EE62A90">
      <w:pPr>
        <w:keepNext w:val="0"/>
        <w:keepLines w:val="0"/>
        <w:pageBreakBefore w:val="0"/>
        <w:suppressAutoHyphens/>
        <w:kinsoku/>
        <w:wordWrap/>
        <w:overflowPunct/>
        <w:topLinePunct w:val="0"/>
        <w:autoSpaceDE/>
        <w:autoSpaceDN/>
        <w:bidi w:val="0"/>
        <w:adjustRightInd/>
        <w:snapToGrid/>
        <w:spacing w:line="540" w:lineRule="exact"/>
        <w:ind w:firstLine="4800" w:firstLineChars="1500"/>
        <w:textAlignment w:val="auto"/>
        <w:rPr>
          <w:rFonts w:hint="eastAsia" w:ascii="仿宋_GB2312" w:hAnsi="仿宋_GB2312" w:eastAsia="仿宋_GB2312" w:cs="仿宋_GB2312"/>
          <w:color w:val="auto"/>
          <w:sz w:val="32"/>
          <w:szCs w:val="32"/>
        </w:rPr>
      </w:pPr>
    </w:p>
    <w:p w14:paraId="2761E494">
      <w:pPr>
        <w:keepNext w:val="0"/>
        <w:keepLines w:val="0"/>
        <w:pageBreakBefore w:val="0"/>
        <w:suppressAutoHyphens/>
        <w:kinsoku/>
        <w:wordWrap/>
        <w:overflowPunct/>
        <w:topLinePunct w:val="0"/>
        <w:autoSpaceDE/>
        <w:autoSpaceDN/>
        <w:bidi w:val="0"/>
        <w:adjustRightInd/>
        <w:snapToGrid/>
        <w:spacing w:line="540" w:lineRule="exact"/>
        <w:ind w:firstLine="4800" w:firstLineChars="1500"/>
        <w:textAlignment w:val="auto"/>
        <w:rPr>
          <w:rFonts w:hint="eastAsia" w:ascii="仿宋_GB2312" w:hAnsi="仿宋_GB2312" w:eastAsia="仿宋_GB2312" w:cs="仿宋_GB2312"/>
          <w:color w:val="auto"/>
          <w:sz w:val="32"/>
          <w:szCs w:val="32"/>
        </w:rPr>
      </w:pPr>
    </w:p>
    <w:p w14:paraId="2E1C12F8">
      <w:pPr>
        <w:keepNext w:val="0"/>
        <w:keepLines w:val="0"/>
        <w:pageBreakBefore w:val="0"/>
        <w:suppressAutoHyphens/>
        <w:kinsoku/>
        <w:wordWrap/>
        <w:overflowPunct/>
        <w:topLinePunct w:val="0"/>
        <w:autoSpaceDE/>
        <w:autoSpaceDN/>
        <w:bidi w:val="0"/>
        <w:adjustRightInd/>
        <w:snapToGrid/>
        <w:spacing w:line="540" w:lineRule="exact"/>
        <w:ind w:firstLine="4800" w:firstLineChars="1500"/>
        <w:textAlignment w:val="auto"/>
        <w:rPr>
          <w:rFonts w:hint="eastAsia" w:ascii="仿宋_GB2312" w:hAnsi="仿宋_GB2312" w:eastAsia="仿宋_GB2312" w:cs="仿宋_GB2312"/>
          <w:color w:val="auto"/>
          <w:sz w:val="32"/>
          <w:szCs w:val="32"/>
        </w:rPr>
      </w:pPr>
    </w:p>
    <w:p w14:paraId="535490C0">
      <w:pPr>
        <w:ind w:firstLine="210" w:firstLineChars="100"/>
        <w:rPr>
          <w:rFonts w:hint="eastAsia" w:eastAsia="宋体"/>
          <w:lang w:eastAsia="zh-CN"/>
        </w:rPr>
      </w:pPr>
    </w:p>
    <w:sectPr>
      <w:footerReference r:id="rId4" w:type="default"/>
      <w:pgSz w:w="11906" w:h="16838"/>
      <w:pgMar w:top="1701" w:right="1531" w:bottom="1701" w:left="1531" w:header="851" w:footer="992" w:gutter="0"/>
      <w:pgNumType w:fmt="decimal" w:start="2"/>
      <w:cols w:space="425" w:num="1"/>
      <w:formProt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7F837">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A4C79C">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A4C79C">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D330E">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DE5F29">
                          <w:pPr>
                            <w:pStyle w:val="6"/>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1</w:t>
                          </w:r>
                          <w:r>
                            <w:rPr>
                              <w:rFonts w:ascii="宋体" w:hAnsi="宋体" w:eastAsia="宋体" w:cs="宋体"/>
                              <w:sz w:val="28"/>
                              <w:szCs w:val="28"/>
                            </w:rPr>
                            <w:fldChar w:fldCharType="end"/>
                          </w:r>
                          <w:r>
                            <w:rPr>
                              <w:rFonts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42DE5F29">
                    <w:pPr>
                      <w:pStyle w:val="6"/>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1</w:t>
                    </w:r>
                    <w:r>
                      <w:rPr>
                        <w:rFonts w:ascii="宋体" w:hAnsi="宋体" w:eastAsia="宋体" w:cs="宋体"/>
                        <w:sz w:val="28"/>
                        <w:szCs w:val="28"/>
                      </w:rPr>
                      <w:fldChar w:fldCharType="end"/>
                    </w:r>
                    <w:r>
                      <w:rPr>
                        <w:rFonts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dit="comments"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5E828870000F4BA" w:val=" "/>
    <w:docVar w:name="65EE6601000080A9" w:val=" "/>
    <w:docVar w:name="65F7FCDC0000883F" w:val=" "/>
    <w:docVar w:name="68B6A22B00000372" w:val=" "/>
    <w:docVar w:name="68B955E200000D7A" w:val=" "/>
    <w:docVar w:name="68BE96770000DE19" w:val=" "/>
    <w:docVar w:name="68C7D5C7000037D4" w:val=" "/>
    <w:docVar w:name="68D267B80000FAE9" w:val=" "/>
    <w:docVar w:name="commondata" w:val="eyJoZGlkIjoiNTlkM2YwMDU0ZDQ5MjdiZWM5YjQ5NjY2ODFkOWIzN2UifQ=="/>
    <w:docVar w:name="DocGlobalSDABB" w:val="qcBSqZUBFvvNidJwPxsHhpsYhMNcnY0sDlzH2QAK2nFlABuOnbi36rP/nbESVKYnqY1hgpGqRg4gLL3jds8DALcsveN2zwMAtyy943bPAwC3LL3jds8DALcsveN2zwMAtyy943bPAwC3LL3jds8DALcsveN2zwMAtyy943bPAwC3LL3jds8DALcsveN2zwMAtyy943bPAwC3AAAAAA=="/>
  </w:docVars>
  <w:rsids>
    <w:rsidRoot w:val="11A82A8A"/>
    <w:rsid w:val="0009409C"/>
    <w:rsid w:val="000E5928"/>
    <w:rsid w:val="00133387"/>
    <w:rsid w:val="003B1A13"/>
    <w:rsid w:val="004774E0"/>
    <w:rsid w:val="004C5602"/>
    <w:rsid w:val="005A7F92"/>
    <w:rsid w:val="005F1D54"/>
    <w:rsid w:val="00796E04"/>
    <w:rsid w:val="00863A9E"/>
    <w:rsid w:val="008923BA"/>
    <w:rsid w:val="00903F2F"/>
    <w:rsid w:val="00B01F5E"/>
    <w:rsid w:val="00BA523C"/>
    <w:rsid w:val="00DE61E1"/>
    <w:rsid w:val="00EB05C0"/>
    <w:rsid w:val="00EC6DFD"/>
    <w:rsid w:val="01645F6E"/>
    <w:rsid w:val="01C761D7"/>
    <w:rsid w:val="01FF4885"/>
    <w:rsid w:val="02115992"/>
    <w:rsid w:val="02661E94"/>
    <w:rsid w:val="02CC5385"/>
    <w:rsid w:val="02D02199"/>
    <w:rsid w:val="02FC38B0"/>
    <w:rsid w:val="031569E6"/>
    <w:rsid w:val="034F7090"/>
    <w:rsid w:val="036F731D"/>
    <w:rsid w:val="03727E03"/>
    <w:rsid w:val="03974336"/>
    <w:rsid w:val="039C5442"/>
    <w:rsid w:val="03B1713F"/>
    <w:rsid w:val="03D07135"/>
    <w:rsid w:val="041B11B3"/>
    <w:rsid w:val="044C6E68"/>
    <w:rsid w:val="04B00BB4"/>
    <w:rsid w:val="04ED461D"/>
    <w:rsid w:val="0508335F"/>
    <w:rsid w:val="050A5551"/>
    <w:rsid w:val="0523406D"/>
    <w:rsid w:val="05304E7B"/>
    <w:rsid w:val="054C2A64"/>
    <w:rsid w:val="0564784B"/>
    <w:rsid w:val="05AD48C9"/>
    <w:rsid w:val="05B746C1"/>
    <w:rsid w:val="06720B96"/>
    <w:rsid w:val="06D279EC"/>
    <w:rsid w:val="06F07F7E"/>
    <w:rsid w:val="075952DC"/>
    <w:rsid w:val="077741FC"/>
    <w:rsid w:val="077E558A"/>
    <w:rsid w:val="080041F1"/>
    <w:rsid w:val="084C38DA"/>
    <w:rsid w:val="088F530F"/>
    <w:rsid w:val="08940DDD"/>
    <w:rsid w:val="08C16076"/>
    <w:rsid w:val="08C60E29"/>
    <w:rsid w:val="08D672B4"/>
    <w:rsid w:val="08F71A98"/>
    <w:rsid w:val="08FA1588"/>
    <w:rsid w:val="09206A07"/>
    <w:rsid w:val="09227017"/>
    <w:rsid w:val="09265ED9"/>
    <w:rsid w:val="09561931"/>
    <w:rsid w:val="0984554F"/>
    <w:rsid w:val="09E40E94"/>
    <w:rsid w:val="0A002A22"/>
    <w:rsid w:val="0A253323"/>
    <w:rsid w:val="0A2B726C"/>
    <w:rsid w:val="0A582A5E"/>
    <w:rsid w:val="0A8E2084"/>
    <w:rsid w:val="0A9450C5"/>
    <w:rsid w:val="0AE41BA8"/>
    <w:rsid w:val="0B032431"/>
    <w:rsid w:val="0B055EDF"/>
    <w:rsid w:val="0B892750"/>
    <w:rsid w:val="0BA457DB"/>
    <w:rsid w:val="0BC1013B"/>
    <w:rsid w:val="0BF33404"/>
    <w:rsid w:val="0BF46F3F"/>
    <w:rsid w:val="0BFC5617"/>
    <w:rsid w:val="0C67518E"/>
    <w:rsid w:val="0CA91386"/>
    <w:rsid w:val="0D204314"/>
    <w:rsid w:val="0D52363D"/>
    <w:rsid w:val="0DA01B1D"/>
    <w:rsid w:val="0DC80545"/>
    <w:rsid w:val="0DF56DAD"/>
    <w:rsid w:val="0E18643D"/>
    <w:rsid w:val="0E4A44C3"/>
    <w:rsid w:val="0EAD49A7"/>
    <w:rsid w:val="0EDD47D5"/>
    <w:rsid w:val="0F4D29C7"/>
    <w:rsid w:val="0F68615A"/>
    <w:rsid w:val="0F686E90"/>
    <w:rsid w:val="0F6E6841"/>
    <w:rsid w:val="0F874BD7"/>
    <w:rsid w:val="0F927F1A"/>
    <w:rsid w:val="0FCB77DB"/>
    <w:rsid w:val="0FD233F9"/>
    <w:rsid w:val="10216682"/>
    <w:rsid w:val="102E38C6"/>
    <w:rsid w:val="1034712E"/>
    <w:rsid w:val="10722E4A"/>
    <w:rsid w:val="10A76689"/>
    <w:rsid w:val="10B71B0D"/>
    <w:rsid w:val="10B82071"/>
    <w:rsid w:val="11063320"/>
    <w:rsid w:val="119939A6"/>
    <w:rsid w:val="119F2150"/>
    <w:rsid w:val="11A82A8A"/>
    <w:rsid w:val="11DD1A47"/>
    <w:rsid w:val="122C168A"/>
    <w:rsid w:val="12503B80"/>
    <w:rsid w:val="12971BF6"/>
    <w:rsid w:val="13465FE5"/>
    <w:rsid w:val="13542B43"/>
    <w:rsid w:val="13E316CA"/>
    <w:rsid w:val="13E9058D"/>
    <w:rsid w:val="143A6CDD"/>
    <w:rsid w:val="144C6375"/>
    <w:rsid w:val="144D3E77"/>
    <w:rsid w:val="146B158C"/>
    <w:rsid w:val="148461AA"/>
    <w:rsid w:val="14AF1479"/>
    <w:rsid w:val="14D26D75"/>
    <w:rsid w:val="14E05AD6"/>
    <w:rsid w:val="15377FDF"/>
    <w:rsid w:val="154D28BA"/>
    <w:rsid w:val="15DA4C68"/>
    <w:rsid w:val="1636017F"/>
    <w:rsid w:val="164B17B5"/>
    <w:rsid w:val="166C6378"/>
    <w:rsid w:val="16780CF9"/>
    <w:rsid w:val="16B22FF7"/>
    <w:rsid w:val="17534CCC"/>
    <w:rsid w:val="179F377F"/>
    <w:rsid w:val="17C51A1D"/>
    <w:rsid w:val="17ED728E"/>
    <w:rsid w:val="17FC4796"/>
    <w:rsid w:val="1803645D"/>
    <w:rsid w:val="180513B0"/>
    <w:rsid w:val="183F6F76"/>
    <w:rsid w:val="192D0BBE"/>
    <w:rsid w:val="194372B1"/>
    <w:rsid w:val="19577C7A"/>
    <w:rsid w:val="19A14264"/>
    <w:rsid w:val="19F82502"/>
    <w:rsid w:val="1A0F674F"/>
    <w:rsid w:val="1A6E7C95"/>
    <w:rsid w:val="1A862C7C"/>
    <w:rsid w:val="1A8E1608"/>
    <w:rsid w:val="1ABD78E9"/>
    <w:rsid w:val="1AD266C3"/>
    <w:rsid w:val="1C026332"/>
    <w:rsid w:val="1C274C45"/>
    <w:rsid w:val="1C2C61F9"/>
    <w:rsid w:val="1C5B0921"/>
    <w:rsid w:val="1C6344EA"/>
    <w:rsid w:val="1C7663B8"/>
    <w:rsid w:val="1CBC465A"/>
    <w:rsid w:val="1D0969F5"/>
    <w:rsid w:val="1D1C3226"/>
    <w:rsid w:val="1D1C3424"/>
    <w:rsid w:val="1D4430D9"/>
    <w:rsid w:val="1D61352C"/>
    <w:rsid w:val="1D940C4B"/>
    <w:rsid w:val="1D9A281B"/>
    <w:rsid w:val="1DB45D52"/>
    <w:rsid w:val="1DEA6C4D"/>
    <w:rsid w:val="1E2702D2"/>
    <w:rsid w:val="1E412D18"/>
    <w:rsid w:val="1EEB4FC1"/>
    <w:rsid w:val="1EFE711A"/>
    <w:rsid w:val="1F300C3B"/>
    <w:rsid w:val="1FA621D6"/>
    <w:rsid w:val="1FA80B45"/>
    <w:rsid w:val="1FD04999"/>
    <w:rsid w:val="1FEF3B91"/>
    <w:rsid w:val="20653333"/>
    <w:rsid w:val="20686980"/>
    <w:rsid w:val="20CF396F"/>
    <w:rsid w:val="20F27D13"/>
    <w:rsid w:val="21182154"/>
    <w:rsid w:val="213127B0"/>
    <w:rsid w:val="217947A7"/>
    <w:rsid w:val="217B6684"/>
    <w:rsid w:val="218D5B38"/>
    <w:rsid w:val="21987E11"/>
    <w:rsid w:val="21A219F0"/>
    <w:rsid w:val="21EF53FD"/>
    <w:rsid w:val="227C5F86"/>
    <w:rsid w:val="229606CD"/>
    <w:rsid w:val="22EA7B20"/>
    <w:rsid w:val="22F5697D"/>
    <w:rsid w:val="231150AD"/>
    <w:rsid w:val="238166D6"/>
    <w:rsid w:val="23E03226"/>
    <w:rsid w:val="24686930"/>
    <w:rsid w:val="250E41F3"/>
    <w:rsid w:val="251950E8"/>
    <w:rsid w:val="252C4420"/>
    <w:rsid w:val="25377DCF"/>
    <w:rsid w:val="25B5740E"/>
    <w:rsid w:val="25BA7A55"/>
    <w:rsid w:val="25F44DA0"/>
    <w:rsid w:val="2605685C"/>
    <w:rsid w:val="263F3138"/>
    <w:rsid w:val="26610AB8"/>
    <w:rsid w:val="268920F3"/>
    <w:rsid w:val="268C56AC"/>
    <w:rsid w:val="26E804F0"/>
    <w:rsid w:val="26FE003E"/>
    <w:rsid w:val="278E3170"/>
    <w:rsid w:val="27C41790"/>
    <w:rsid w:val="27C46B92"/>
    <w:rsid w:val="27F55662"/>
    <w:rsid w:val="28262702"/>
    <w:rsid w:val="28285372"/>
    <w:rsid w:val="2866443A"/>
    <w:rsid w:val="28995429"/>
    <w:rsid w:val="2927239E"/>
    <w:rsid w:val="292C2B01"/>
    <w:rsid w:val="29785787"/>
    <w:rsid w:val="298D62D6"/>
    <w:rsid w:val="29A202A6"/>
    <w:rsid w:val="29A33646"/>
    <w:rsid w:val="29A9603F"/>
    <w:rsid w:val="29E106BD"/>
    <w:rsid w:val="2A1B6BD3"/>
    <w:rsid w:val="2A315302"/>
    <w:rsid w:val="2A4A4EAF"/>
    <w:rsid w:val="2A6B7798"/>
    <w:rsid w:val="2A970F6B"/>
    <w:rsid w:val="2AD22821"/>
    <w:rsid w:val="2B563FA5"/>
    <w:rsid w:val="2B5B467B"/>
    <w:rsid w:val="2BB51C3A"/>
    <w:rsid w:val="2BCB2BA4"/>
    <w:rsid w:val="2BE832B9"/>
    <w:rsid w:val="2C0559CB"/>
    <w:rsid w:val="2C357220"/>
    <w:rsid w:val="2C635E8E"/>
    <w:rsid w:val="2CA5446F"/>
    <w:rsid w:val="2CAD1D23"/>
    <w:rsid w:val="2CD0422B"/>
    <w:rsid w:val="2CF25F4F"/>
    <w:rsid w:val="2D740F92"/>
    <w:rsid w:val="2DAE5663"/>
    <w:rsid w:val="2E6A4875"/>
    <w:rsid w:val="2E9C3CAE"/>
    <w:rsid w:val="2EA9088F"/>
    <w:rsid w:val="2EE8478A"/>
    <w:rsid w:val="2EE95067"/>
    <w:rsid w:val="2EEF5C10"/>
    <w:rsid w:val="2F2A4E18"/>
    <w:rsid w:val="2F586C79"/>
    <w:rsid w:val="2F61560E"/>
    <w:rsid w:val="2F6A3587"/>
    <w:rsid w:val="2FE703F2"/>
    <w:rsid w:val="2FF8355F"/>
    <w:rsid w:val="302A08B9"/>
    <w:rsid w:val="303F72AE"/>
    <w:rsid w:val="307B44AD"/>
    <w:rsid w:val="30A25EDE"/>
    <w:rsid w:val="30CB27F3"/>
    <w:rsid w:val="30E16777"/>
    <w:rsid w:val="31133301"/>
    <w:rsid w:val="312C6C2F"/>
    <w:rsid w:val="31523674"/>
    <w:rsid w:val="317F20B0"/>
    <w:rsid w:val="318F0210"/>
    <w:rsid w:val="31973569"/>
    <w:rsid w:val="31AD0534"/>
    <w:rsid w:val="31D9592F"/>
    <w:rsid w:val="31E3230A"/>
    <w:rsid w:val="31E707D4"/>
    <w:rsid w:val="320D0499"/>
    <w:rsid w:val="327678EE"/>
    <w:rsid w:val="32C01036"/>
    <w:rsid w:val="32C1602F"/>
    <w:rsid w:val="32DE4F0A"/>
    <w:rsid w:val="32E86E96"/>
    <w:rsid w:val="33002C06"/>
    <w:rsid w:val="335F3C12"/>
    <w:rsid w:val="335F58CD"/>
    <w:rsid w:val="33727412"/>
    <w:rsid w:val="33A07129"/>
    <w:rsid w:val="33DC5263"/>
    <w:rsid w:val="33E21C85"/>
    <w:rsid w:val="34191EB2"/>
    <w:rsid w:val="342E4006"/>
    <w:rsid w:val="349C405B"/>
    <w:rsid w:val="34B47F8E"/>
    <w:rsid w:val="34B63066"/>
    <w:rsid w:val="34BD075F"/>
    <w:rsid w:val="34E35E1B"/>
    <w:rsid w:val="35310628"/>
    <w:rsid w:val="357339A5"/>
    <w:rsid w:val="357B36D1"/>
    <w:rsid w:val="35AF0E81"/>
    <w:rsid w:val="35BC76F1"/>
    <w:rsid w:val="35BD4BE3"/>
    <w:rsid w:val="363578E5"/>
    <w:rsid w:val="36372C24"/>
    <w:rsid w:val="364F77F1"/>
    <w:rsid w:val="365E171C"/>
    <w:rsid w:val="36611E1B"/>
    <w:rsid w:val="367630F2"/>
    <w:rsid w:val="368C78C4"/>
    <w:rsid w:val="36934F7F"/>
    <w:rsid w:val="36995D2E"/>
    <w:rsid w:val="36F8344F"/>
    <w:rsid w:val="37204ECF"/>
    <w:rsid w:val="3744073F"/>
    <w:rsid w:val="37773286"/>
    <w:rsid w:val="38196F21"/>
    <w:rsid w:val="38237E0F"/>
    <w:rsid w:val="384272F6"/>
    <w:rsid w:val="385C2D6F"/>
    <w:rsid w:val="38697999"/>
    <w:rsid w:val="388D1222"/>
    <w:rsid w:val="389E342F"/>
    <w:rsid w:val="390F1C37"/>
    <w:rsid w:val="399B4DCF"/>
    <w:rsid w:val="39B527DE"/>
    <w:rsid w:val="39D6742F"/>
    <w:rsid w:val="39E06446"/>
    <w:rsid w:val="3A363B0D"/>
    <w:rsid w:val="3A7D2122"/>
    <w:rsid w:val="3A7E263E"/>
    <w:rsid w:val="3AA96CE3"/>
    <w:rsid w:val="3ACC4283"/>
    <w:rsid w:val="3AD64DC0"/>
    <w:rsid w:val="3AE14E90"/>
    <w:rsid w:val="3AFE1F63"/>
    <w:rsid w:val="3B264F70"/>
    <w:rsid w:val="3B883A4B"/>
    <w:rsid w:val="3B8C57C0"/>
    <w:rsid w:val="3BEA1F7C"/>
    <w:rsid w:val="3BF13876"/>
    <w:rsid w:val="3C0C4C91"/>
    <w:rsid w:val="3C373EEA"/>
    <w:rsid w:val="3C4542ED"/>
    <w:rsid w:val="3C746980"/>
    <w:rsid w:val="3C832720"/>
    <w:rsid w:val="3CD4741F"/>
    <w:rsid w:val="3D0772A1"/>
    <w:rsid w:val="3D2646F6"/>
    <w:rsid w:val="3D666394"/>
    <w:rsid w:val="3D850D43"/>
    <w:rsid w:val="3DB90C5B"/>
    <w:rsid w:val="3E4260CA"/>
    <w:rsid w:val="3E5647A8"/>
    <w:rsid w:val="3E742C68"/>
    <w:rsid w:val="3EAB7385"/>
    <w:rsid w:val="3EF21361"/>
    <w:rsid w:val="3F204B9E"/>
    <w:rsid w:val="3F5156CB"/>
    <w:rsid w:val="3F6D76B7"/>
    <w:rsid w:val="3F80388E"/>
    <w:rsid w:val="3F8841F5"/>
    <w:rsid w:val="3FBE72ED"/>
    <w:rsid w:val="3FE173BD"/>
    <w:rsid w:val="40381A73"/>
    <w:rsid w:val="409A390F"/>
    <w:rsid w:val="40F14573"/>
    <w:rsid w:val="41156378"/>
    <w:rsid w:val="414B5F4D"/>
    <w:rsid w:val="41C852A6"/>
    <w:rsid w:val="423358A3"/>
    <w:rsid w:val="424D73DB"/>
    <w:rsid w:val="4252745A"/>
    <w:rsid w:val="42AD6748"/>
    <w:rsid w:val="42B570F5"/>
    <w:rsid w:val="42C1677A"/>
    <w:rsid w:val="431B5DA8"/>
    <w:rsid w:val="433C187A"/>
    <w:rsid w:val="434F6882"/>
    <w:rsid w:val="436501BA"/>
    <w:rsid w:val="4388463B"/>
    <w:rsid w:val="43F33517"/>
    <w:rsid w:val="443B5FD6"/>
    <w:rsid w:val="445552E9"/>
    <w:rsid w:val="445C6678"/>
    <w:rsid w:val="446C1C97"/>
    <w:rsid w:val="447F0A2F"/>
    <w:rsid w:val="44A616A1"/>
    <w:rsid w:val="44DF6990"/>
    <w:rsid w:val="44E8077D"/>
    <w:rsid w:val="454D7898"/>
    <w:rsid w:val="457019FE"/>
    <w:rsid w:val="457223A9"/>
    <w:rsid w:val="45C02C36"/>
    <w:rsid w:val="45C142B9"/>
    <w:rsid w:val="45F12144"/>
    <w:rsid w:val="462469B5"/>
    <w:rsid w:val="464078D3"/>
    <w:rsid w:val="465C7A7E"/>
    <w:rsid w:val="46741EFB"/>
    <w:rsid w:val="468277B0"/>
    <w:rsid w:val="470007D9"/>
    <w:rsid w:val="4779629A"/>
    <w:rsid w:val="47FB62D9"/>
    <w:rsid w:val="485A2A7C"/>
    <w:rsid w:val="48D55F63"/>
    <w:rsid w:val="48E409EA"/>
    <w:rsid w:val="48FF538E"/>
    <w:rsid w:val="490C7F41"/>
    <w:rsid w:val="49155047"/>
    <w:rsid w:val="494B6CBB"/>
    <w:rsid w:val="495E69BD"/>
    <w:rsid w:val="496454D0"/>
    <w:rsid w:val="49A34401"/>
    <w:rsid w:val="49AD5280"/>
    <w:rsid w:val="4A270539"/>
    <w:rsid w:val="4A722025"/>
    <w:rsid w:val="4A7879C2"/>
    <w:rsid w:val="4A871F75"/>
    <w:rsid w:val="4AC8414F"/>
    <w:rsid w:val="4B405979"/>
    <w:rsid w:val="4BD021D9"/>
    <w:rsid w:val="4BE46F69"/>
    <w:rsid w:val="4C01628B"/>
    <w:rsid w:val="4C032E5D"/>
    <w:rsid w:val="4C63431C"/>
    <w:rsid w:val="4C673E0C"/>
    <w:rsid w:val="4C712E59"/>
    <w:rsid w:val="4C983FC5"/>
    <w:rsid w:val="4CAF1197"/>
    <w:rsid w:val="4CE70AA9"/>
    <w:rsid w:val="4CF07105"/>
    <w:rsid w:val="4D07114B"/>
    <w:rsid w:val="4D093933"/>
    <w:rsid w:val="4D2F37DC"/>
    <w:rsid w:val="4D73058E"/>
    <w:rsid w:val="4D9F3131"/>
    <w:rsid w:val="4DB33341"/>
    <w:rsid w:val="4DC43C4E"/>
    <w:rsid w:val="4DEF243E"/>
    <w:rsid w:val="4DF80A94"/>
    <w:rsid w:val="4E3531DF"/>
    <w:rsid w:val="4EB57343"/>
    <w:rsid w:val="4F22226C"/>
    <w:rsid w:val="4F4B48E3"/>
    <w:rsid w:val="4F536E42"/>
    <w:rsid w:val="503A7BB6"/>
    <w:rsid w:val="5049429B"/>
    <w:rsid w:val="50730743"/>
    <w:rsid w:val="50B810E7"/>
    <w:rsid w:val="50FE4840"/>
    <w:rsid w:val="50FF7AFB"/>
    <w:rsid w:val="51D0506A"/>
    <w:rsid w:val="52224331"/>
    <w:rsid w:val="524E73BC"/>
    <w:rsid w:val="52976ACD"/>
    <w:rsid w:val="530C3017"/>
    <w:rsid w:val="538330A5"/>
    <w:rsid w:val="53B36151"/>
    <w:rsid w:val="540B17C8"/>
    <w:rsid w:val="5434232B"/>
    <w:rsid w:val="54345ED1"/>
    <w:rsid w:val="543944D9"/>
    <w:rsid w:val="54996B2C"/>
    <w:rsid w:val="551E0C98"/>
    <w:rsid w:val="55B8666E"/>
    <w:rsid w:val="56657940"/>
    <w:rsid w:val="566A618E"/>
    <w:rsid w:val="568026F8"/>
    <w:rsid w:val="56B96545"/>
    <w:rsid w:val="56D02C70"/>
    <w:rsid w:val="56D60D56"/>
    <w:rsid w:val="56E952AD"/>
    <w:rsid w:val="572D203D"/>
    <w:rsid w:val="574603AD"/>
    <w:rsid w:val="579B705F"/>
    <w:rsid w:val="57A31603"/>
    <w:rsid w:val="57C25B2E"/>
    <w:rsid w:val="581A13FC"/>
    <w:rsid w:val="584F7AA2"/>
    <w:rsid w:val="58AE4B70"/>
    <w:rsid w:val="592F7A5F"/>
    <w:rsid w:val="5945729D"/>
    <w:rsid w:val="5966335F"/>
    <w:rsid w:val="59C55405"/>
    <w:rsid w:val="5A4A1DA0"/>
    <w:rsid w:val="5A707ABE"/>
    <w:rsid w:val="5A854D8F"/>
    <w:rsid w:val="5A9B5F05"/>
    <w:rsid w:val="5AA75C92"/>
    <w:rsid w:val="5B044F1C"/>
    <w:rsid w:val="5B125EF9"/>
    <w:rsid w:val="5B654635"/>
    <w:rsid w:val="5B7C320D"/>
    <w:rsid w:val="5B7D309F"/>
    <w:rsid w:val="5B9B7733"/>
    <w:rsid w:val="5BE723FE"/>
    <w:rsid w:val="5C2C472A"/>
    <w:rsid w:val="5C7165E1"/>
    <w:rsid w:val="5C7B18DE"/>
    <w:rsid w:val="5C9710BF"/>
    <w:rsid w:val="5CA66E29"/>
    <w:rsid w:val="5CB52971"/>
    <w:rsid w:val="5CCB0B90"/>
    <w:rsid w:val="5CD64696"/>
    <w:rsid w:val="5CFF599B"/>
    <w:rsid w:val="5D123A97"/>
    <w:rsid w:val="5D342DCF"/>
    <w:rsid w:val="5D3F2B22"/>
    <w:rsid w:val="5D631D68"/>
    <w:rsid w:val="5D9C4043"/>
    <w:rsid w:val="5DC30AE1"/>
    <w:rsid w:val="5DE27796"/>
    <w:rsid w:val="5DE77A3A"/>
    <w:rsid w:val="5DFB04EF"/>
    <w:rsid w:val="5EA84F52"/>
    <w:rsid w:val="5EBD5B0D"/>
    <w:rsid w:val="5EC82AC9"/>
    <w:rsid w:val="5F076D88"/>
    <w:rsid w:val="5F444AB0"/>
    <w:rsid w:val="5F944FE5"/>
    <w:rsid w:val="5F9F2289"/>
    <w:rsid w:val="5FCB4486"/>
    <w:rsid w:val="601776E3"/>
    <w:rsid w:val="603273D9"/>
    <w:rsid w:val="60591866"/>
    <w:rsid w:val="60AD570E"/>
    <w:rsid w:val="60DC35E1"/>
    <w:rsid w:val="61214782"/>
    <w:rsid w:val="6149377A"/>
    <w:rsid w:val="61FF3FF6"/>
    <w:rsid w:val="620642A9"/>
    <w:rsid w:val="62147BA8"/>
    <w:rsid w:val="625456B5"/>
    <w:rsid w:val="62764E6D"/>
    <w:rsid w:val="62883DE8"/>
    <w:rsid w:val="62C751AC"/>
    <w:rsid w:val="62F33894"/>
    <w:rsid w:val="62FD0BCE"/>
    <w:rsid w:val="63577335"/>
    <w:rsid w:val="63FF44D2"/>
    <w:rsid w:val="64142099"/>
    <w:rsid w:val="644E03A0"/>
    <w:rsid w:val="646031C3"/>
    <w:rsid w:val="647F7DEC"/>
    <w:rsid w:val="648501A8"/>
    <w:rsid w:val="64E06534"/>
    <w:rsid w:val="65FA31A3"/>
    <w:rsid w:val="661C1833"/>
    <w:rsid w:val="66265376"/>
    <w:rsid w:val="662C23B3"/>
    <w:rsid w:val="670C13E0"/>
    <w:rsid w:val="674F1684"/>
    <w:rsid w:val="676254A4"/>
    <w:rsid w:val="67BA1CC0"/>
    <w:rsid w:val="67E16521"/>
    <w:rsid w:val="67EA795A"/>
    <w:rsid w:val="68A20250"/>
    <w:rsid w:val="68A866B8"/>
    <w:rsid w:val="68E048D2"/>
    <w:rsid w:val="68E21127"/>
    <w:rsid w:val="68F8169B"/>
    <w:rsid w:val="6917235E"/>
    <w:rsid w:val="69925E17"/>
    <w:rsid w:val="69AB75EC"/>
    <w:rsid w:val="69BA3931"/>
    <w:rsid w:val="69C47C7C"/>
    <w:rsid w:val="69C94A38"/>
    <w:rsid w:val="6A274783"/>
    <w:rsid w:val="6B176CF6"/>
    <w:rsid w:val="6B8A55EB"/>
    <w:rsid w:val="6BA254E8"/>
    <w:rsid w:val="6BC71C59"/>
    <w:rsid w:val="6C0F2560"/>
    <w:rsid w:val="6C3F6E5E"/>
    <w:rsid w:val="6CB57E24"/>
    <w:rsid w:val="6D197AE0"/>
    <w:rsid w:val="6D550310"/>
    <w:rsid w:val="6D620459"/>
    <w:rsid w:val="6DB25D95"/>
    <w:rsid w:val="6DCE5641"/>
    <w:rsid w:val="6DF12A51"/>
    <w:rsid w:val="6E001233"/>
    <w:rsid w:val="6EC922AC"/>
    <w:rsid w:val="6EDA1DC4"/>
    <w:rsid w:val="6F83497A"/>
    <w:rsid w:val="6F8C5F60"/>
    <w:rsid w:val="6FC34F0A"/>
    <w:rsid w:val="70064453"/>
    <w:rsid w:val="70102817"/>
    <w:rsid w:val="7066238B"/>
    <w:rsid w:val="706B40A9"/>
    <w:rsid w:val="708351E6"/>
    <w:rsid w:val="713C70BA"/>
    <w:rsid w:val="71B5428C"/>
    <w:rsid w:val="72121874"/>
    <w:rsid w:val="7247254A"/>
    <w:rsid w:val="726447C6"/>
    <w:rsid w:val="729572A2"/>
    <w:rsid w:val="72B951BD"/>
    <w:rsid w:val="72F04ADF"/>
    <w:rsid w:val="73223D39"/>
    <w:rsid w:val="738C3165"/>
    <w:rsid w:val="73903399"/>
    <w:rsid w:val="73966C01"/>
    <w:rsid w:val="740D138C"/>
    <w:rsid w:val="746C1710"/>
    <w:rsid w:val="747540C3"/>
    <w:rsid w:val="75642DFE"/>
    <w:rsid w:val="756938C9"/>
    <w:rsid w:val="75797A6A"/>
    <w:rsid w:val="75D02172"/>
    <w:rsid w:val="76164029"/>
    <w:rsid w:val="762A3631"/>
    <w:rsid w:val="762B1157"/>
    <w:rsid w:val="76BD7CD9"/>
    <w:rsid w:val="76C14804"/>
    <w:rsid w:val="76C3118D"/>
    <w:rsid w:val="772B7660"/>
    <w:rsid w:val="773A7D97"/>
    <w:rsid w:val="77C448FA"/>
    <w:rsid w:val="78686E6C"/>
    <w:rsid w:val="78753DFE"/>
    <w:rsid w:val="79054177"/>
    <w:rsid w:val="79140627"/>
    <w:rsid w:val="792151BF"/>
    <w:rsid w:val="793F5645"/>
    <w:rsid w:val="798000B6"/>
    <w:rsid w:val="79A73846"/>
    <w:rsid w:val="79C54D55"/>
    <w:rsid w:val="79D7587D"/>
    <w:rsid w:val="7A1C5351"/>
    <w:rsid w:val="7A7D3FF2"/>
    <w:rsid w:val="7ACF57DA"/>
    <w:rsid w:val="7ADE2C3C"/>
    <w:rsid w:val="7B0703E4"/>
    <w:rsid w:val="7B1310A2"/>
    <w:rsid w:val="7B8E7151"/>
    <w:rsid w:val="7BB87930"/>
    <w:rsid w:val="7CA27E14"/>
    <w:rsid w:val="7CAF57D9"/>
    <w:rsid w:val="7CD31418"/>
    <w:rsid w:val="7D03129F"/>
    <w:rsid w:val="7D250FF6"/>
    <w:rsid w:val="7D750299"/>
    <w:rsid w:val="7D796FBA"/>
    <w:rsid w:val="7D8B387B"/>
    <w:rsid w:val="7DBD7234"/>
    <w:rsid w:val="7DC9372F"/>
    <w:rsid w:val="7DD7333C"/>
    <w:rsid w:val="7E156974"/>
    <w:rsid w:val="7E6042E4"/>
    <w:rsid w:val="7E837A91"/>
    <w:rsid w:val="7EA42B67"/>
    <w:rsid w:val="7EAD0B7B"/>
    <w:rsid w:val="7EC377B2"/>
    <w:rsid w:val="7EE931D2"/>
    <w:rsid w:val="7F0C3F8B"/>
    <w:rsid w:val="7F530F46"/>
    <w:rsid w:val="7F7818B1"/>
    <w:rsid w:val="7F8279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firstLineChars="200"/>
    </w:pPr>
  </w:style>
  <w:style w:type="paragraph" w:styleId="3">
    <w:name w:val="Body Text"/>
    <w:basedOn w:val="1"/>
    <w:unhideWhenUsed/>
    <w:qFormat/>
    <w:uiPriority w:val="0"/>
    <w:pPr>
      <w:spacing w:before="9"/>
      <w:ind w:left="111"/>
      <w:jc w:val="left"/>
    </w:pPr>
    <w:rPr>
      <w:rFonts w:ascii="宋体" w:hAnsi="宋体"/>
      <w:kern w:val="0"/>
      <w:sz w:val="31"/>
      <w:szCs w:val="31"/>
      <w:lang w:eastAsia="en-US"/>
    </w:rPr>
  </w:style>
  <w:style w:type="paragraph" w:styleId="4">
    <w:name w:val="Body Text Indent"/>
    <w:basedOn w:val="1"/>
    <w:next w:val="2"/>
    <w:autoRedefine/>
    <w:qFormat/>
    <w:uiPriority w:val="0"/>
    <w:pPr>
      <w:spacing w:after="120"/>
      <w:ind w:left="420" w:leftChars="200"/>
    </w:pPr>
    <w:rPr>
      <w:rFonts w:ascii="Times New Roman" w:hAnsi="Times New Roman" w:eastAsia="宋体" w:cs="Times New Roman"/>
    </w:rPr>
  </w:style>
  <w:style w:type="paragraph" w:styleId="5">
    <w:name w:val="Body Text Indent 2"/>
    <w:basedOn w:val="1"/>
    <w:autoRedefine/>
    <w:qFormat/>
    <w:uiPriority w:val="0"/>
    <w:pPr>
      <w:spacing w:after="120" w:line="480" w:lineRule="auto"/>
      <w:ind w:left="420" w:leftChars="200"/>
    </w:p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next w:val="1"/>
    <w:qFormat/>
    <w:uiPriority w:val="0"/>
    <w:pPr>
      <w:widowControl w:val="0"/>
      <w:spacing w:after="104" w:afterLines="0" w:afterAutospacing="0" w:line="0" w:lineRule="atLeast"/>
      <w:jc w:val="left"/>
    </w:pPr>
    <w:rPr>
      <w:rFonts w:ascii="Calibri" w:hAnsi="Calibri" w:eastAsia="宋体" w:cs="Times New Roman"/>
      <w:kern w:val="2"/>
      <w:sz w:val="21"/>
      <w:szCs w:val="22"/>
      <w:lang w:val="en-US" w:eastAsia="zh-CN" w:bidi="ar-SA"/>
    </w:rPr>
  </w:style>
  <w:style w:type="paragraph" w:styleId="9">
    <w:name w:val="List"/>
    <w:basedOn w:val="1"/>
    <w:autoRedefine/>
    <w:qFormat/>
    <w:uiPriority w:val="0"/>
    <w:pPr>
      <w:ind w:left="420" w:hanging="420"/>
    </w:pPr>
  </w:style>
  <w:style w:type="paragraph" w:styleId="10">
    <w:name w:val="Normal (Web)"/>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styleId="11">
    <w:name w:val="Body Text First Indent 2"/>
    <w:basedOn w:val="4"/>
    <w:next w:val="9"/>
    <w:autoRedefine/>
    <w:qFormat/>
    <w:uiPriority w:val="0"/>
    <w:pPr>
      <w:ind w:firstLine="420"/>
    </w:pPr>
    <w:rPr>
      <w:rFonts w:ascii="Calibri" w:hAnsi="Calibri"/>
    </w:rPr>
  </w:style>
  <w:style w:type="character" w:customStyle="1" w:styleId="14">
    <w:name w:val="font11"/>
    <w:basedOn w:val="13"/>
    <w:autoRedefine/>
    <w:qFormat/>
    <w:uiPriority w:val="0"/>
    <w:rPr>
      <w:rFonts w:hint="default" w:ascii="Times New Roman" w:hAnsi="Times New Roman" w:cs="Times New Roman"/>
      <w:color w:val="000000"/>
      <w:sz w:val="32"/>
      <w:szCs w:val="32"/>
      <w:u w:val="none"/>
    </w:rPr>
  </w:style>
  <w:style w:type="character" w:customStyle="1" w:styleId="15">
    <w:name w:val="font91"/>
    <w:basedOn w:val="13"/>
    <w:autoRedefine/>
    <w:qFormat/>
    <w:uiPriority w:val="0"/>
    <w:rPr>
      <w:rFonts w:hint="eastAsia" w:ascii="宋体" w:hAnsi="宋体" w:eastAsia="宋体" w:cs="宋体"/>
      <w:color w:val="000000"/>
      <w:sz w:val="32"/>
      <w:szCs w:val="32"/>
      <w:u w:val="none"/>
    </w:rPr>
  </w:style>
  <w:style w:type="character" w:customStyle="1" w:styleId="16">
    <w:name w:val="font51"/>
    <w:basedOn w:val="13"/>
    <w:autoRedefine/>
    <w:qFormat/>
    <w:uiPriority w:val="0"/>
    <w:rPr>
      <w:rFonts w:ascii="黑体" w:hAnsi="宋体" w:eastAsia="黑体" w:cs="黑体"/>
      <w:color w:val="000000"/>
      <w:sz w:val="24"/>
      <w:szCs w:val="24"/>
      <w:u w:val="none"/>
    </w:rPr>
  </w:style>
  <w:style w:type="character" w:customStyle="1" w:styleId="17">
    <w:name w:val="font71"/>
    <w:basedOn w:val="13"/>
    <w:autoRedefine/>
    <w:qFormat/>
    <w:uiPriority w:val="0"/>
    <w:rPr>
      <w:rFonts w:hint="eastAsia" w:ascii="宋体" w:hAnsi="宋体" w:eastAsia="宋体" w:cs="宋体"/>
      <w:b/>
      <w:bCs/>
      <w:color w:val="000000"/>
      <w:sz w:val="22"/>
      <w:szCs w:val="22"/>
      <w:u w:val="none"/>
    </w:rPr>
  </w:style>
  <w:style w:type="character" w:customStyle="1" w:styleId="18">
    <w:name w:val="font21"/>
    <w:basedOn w:val="13"/>
    <w:autoRedefine/>
    <w:qFormat/>
    <w:uiPriority w:val="0"/>
    <w:rPr>
      <w:rFonts w:ascii="黑体" w:hAnsi="宋体" w:eastAsia="黑体" w:cs="黑体"/>
      <w:color w:val="000000"/>
      <w:sz w:val="32"/>
      <w:szCs w:val="32"/>
      <w:u w:val="none"/>
    </w:rPr>
  </w:style>
  <w:style w:type="character" w:customStyle="1" w:styleId="19">
    <w:name w:val="font61"/>
    <w:basedOn w:val="13"/>
    <w:autoRedefine/>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3029</Words>
  <Characters>3132</Characters>
  <Lines>21</Lines>
  <Paragraphs>5</Paragraphs>
  <TotalTime>0</TotalTime>
  <ScaleCrop>false</ScaleCrop>
  <LinksUpToDate>false</LinksUpToDate>
  <CharactersWithSpaces>3181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2021-11-19T03:17:00Z</dcterms:created>
  <dc:creator>Administrator</dc:creator>
  <cp:lastModifiedBy>茁ㄨ</cp:lastModifiedBy>
  <cp:lastPrinted>2024-02-29T02:50:00Z</cp:lastPrinted>
  <dcterms:modified xsi:type="dcterms:W3CDTF">2025-11-06T01:51:38Z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9E7DADB5441948DA93E915F40D679B0C_13</vt:lpwstr>
  </property>
  <property fmtid="{D5CDD505-2E9C-101B-9397-08002B2CF9AE}" pid="4" name="KSOTemplateDocerSaveRecord">
    <vt:lpwstr>eyJoZGlkIjoiMzU4OGIyNjczMjk3M2YzYjkxMjQ4YTJlYzJkMmFjZTciLCJ1c2VySWQiOiIzNTY5ODcwNzEifQ==</vt:lpwstr>
  </property>
</Properties>
</file>